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hybridaiautomation"/>
    <w:p>
      <w:pPr>
        <w:pStyle w:val="Heading1"/>
      </w:pPr>
      <w:r>
        <w:t xml:space="preserve">HybridAIAutomation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2026-04-30</w:t>
      </w:r>
    </w:p>
    <w:p>
      <w:pPr>
        <w:pStyle w:val="BodyText"/>
      </w:pPr>
      <w:r>
        <w:t xml:space="preserve">Enterprise-grade AI automation starter platform for Oracle ERP and healthcare</w:t>
      </w:r>
      <w:r>
        <w:t xml:space="preserve"> </w:t>
      </w:r>
      <w:r>
        <w:t xml:space="preserve">customer POCs.</w:t>
      </w:r>
    </w:p>
    <w:bookmarkStart w:id="9" w:name="pocs"/>
    <w:p>
      <w:pPr>
        <w:pStyle w:val="Heading2"/>
      </w:pPr>
      <w:r>
        <w:t xml:space="preserve">POCs</w:t>
      </w:r>
    </w:p>
    <w:p>
      <w:pPr>
        <w:pStyle w:val="Compact"/>
        <w:numPr>
          <w:ilvl w:val="0"/>
          <w:numId w:val="1001"/>
        </w:numPr>
      </w:pPr>
      <w:r>
        <w:t xml:space="preserve">Invoice Processing Agent for finance and Oracle ERP-style AP flows</w:t>
      </w:r>
    </w:p>
    <w:p>
      <w:pPr>
        <w:pStyle w:val="Compact"/>
        <w:numPr>
          <w:ilvl w:val="0"/>
          <w:numId w:val="1001"/>
        </w:numPr>
      </w:pPr>
      <w:r>
        <w:t xml:space="preserve">Prior Authorization Agent for healthcare utilization and Oracle Health-style workflows</w: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OCI-first infrastructure assets</w:t>
      </w:r>
    </w:p>
    <w:p>
      <w:pPr>
        <w:pStyle w:val="Compact"/>
        <w:numPr>
          <w:ilvl w:val="0"/>
          <w:numId w:val="1002"/>
        </w:numPr>
      </w:pPr>
      <w:r>
        <w:t xml:space="preserve">OpenAI-ready orchestration with deterministic local fallback</w:t>
      </w:r>
    </w:p>
    <w:p>
      <w:pPr>
        <w:pStyle w:val="Compact"/>
        <w:numPr>
          <w:ilvl w:val="0"/>
          <w:numId w:val="1002"/>
        </w:numPr>
      </w:pPr>
      <w:r>
        <w:t xml:space="preserve">FastAPI backend with workflow execution, auth, and audit APIs</w:t>
      </w:r>
    </w:p>
    <w:p>
      <w:pPr>
        <w:pStyle w:val="Compact"/>
        <w:numPr>
          <w:ilvl w:val="0"/>
          <w:numId w:val="1002"/>
        </w:numPr>
      </w:pPr>
      <w:r>
        <w:t xml:space="preserve">React frontend with explainable workflow output</w:t>
      </w:r>
    </w:p>
    <w:p>
      <w:pPr>
        <w:pStyle w:val="Compact"/>
        <w:numPr>
          <w:ilvl w:val="0"/>
          <w:numId w:val="1002"/>
        </w:numPr>
      </w:pPr>
      <w:r>
        <w:t xml:space="preserve">RAG-style domain context for finance and healthcare rules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3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3"/>
        </w:numPr>
      </w:pPr>
      <w:r>
        <w:t xml:space="preserve">Start the stack: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3"/>
        </w:numPr>
      </w:pPr>
      <w:r>
        <w:t xml:space="preserve">Open:</w:t>
      </w:r>
    </w:p>
    <w:p>
      <w:pPr>
        <w:pStyle w:val="Compact"/>
        <w:numPr>
          <w:ilvl w:val="1"/>
          <w:numId w:val="1004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http://localhost:5401</w:t>
      </w:r>
    </w:p>
    <w:p>
      <w:pPr>
        <w:pStyle w:val="Compact"/>
        <w:numPr>
          <w:ilvl w:val="1"/>
          <w:numId w:val="1004"/>
        </w:numPr>
      </w:pPr>
      <w:r>
        <w:t xml:space="preserve">Backend docs:</w:t>
      </w:r>
      <w:r>
        <w:t xml:space="preserve"> </w:t>
      </w:r>
      <w:r>
        <w:rPr>
          <w:rStyle w:val="VerbatimChar"/>
        </w:rPr>
        <w:t xml:space="preserve">http://localhost:5405/docs</w:t>
      </w:r>
    </w:p>
    <w:p>
      <w:pPr>
        <w:pStyle w:val="Compact"/>
        <w:numPr>
          <w:ilvl w:val="1"/>
          <w:numId w:val="1004"/>
        </w:numPr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http://localhost:5405/health</w:t>
      </w:r>
    </w:p>
    <w:bookmarkEnd w:id="11"/>
    <w:bookmarkStart w:id="12" w:name="local-development"/>
    <w:p>
      <w:pPr>
        <w:pStyle w:val="Heading2"/>
      </w:pPr>
      <w:r>
        <w:t xml:space="preserve">Local Development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5405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2"/>
    <w:bookmarkStart w:id="13" w:name="what-this-starter-demonstrates"/>
    <w:p>
      <w:pPr>
        <w:pStyle w:val="Heading2"/>
      </w:pPr>
      <w:r>
        <w:t xml:space="preserve">What This Starter Demonstrates</w:t>
      </w:r>
    </w:p>
    <w:p>
      <w:pPr>
        <w:pStyle w:val="Compact"/>
        <w:numPr>
          <w:ilvl w:val="0"/>
          <w:numId w:val="1005"/>
        </w:numPr>
      </w:pPr>
      <w:r>
        <w:t xml:space="preserve">named workflow execution for each POC</w:t>
      </w:r>
    </w:p>
    <w:p>
      <w:pPr>
        <w:pStyle w:val="Compact"/>
        <w:numPr>
          <w:ilvl w:val="0"/>
          <w:numId w:val="1005"/>
        </w:numPr>
      </w:pPr>
      <w:r>
        <w:t xml:space="preserve">explainable routing decisions and next actions</w:t>
      </w:r>
    </w:p>
    <w:p>
      <w:pPr>
        <w:pStyle w:val="Compact"/>
        <w:numPr>
          <w:ilvl w:val="0"/>
          <w:numId w:val="1005"/>
        </w:numPr>
      </w:pPr>
      <w:r>
        <w:t xml:space="preserve">mocked Oracle ERP and Oracle Health handoff artifacts</w:t>
      </w:r>
    </w:p>
    <w:p>
      <w:pPr>
        <w:pStyle w:val="Compact"/>
        <w:numPr>
          <w:ilvl w:val="0"/>
          <w:numId w:val="1005"/>
        </w:numPr>
      </w:pPr>
      <w:r>
        <w:t xml:space="preserve">audit event creation for every workflow run</w:t>
      </w:r>
    </w:p>
    <w:p>
      <w:pPr>
        <w:pStyle w:val="Compact"/>
        <w:numPr>
          <w:ilvl w:val="0"/>
          <w:numId w:val="1005"/>
        </w:numPr>
      </w:pPr>
      <w:r>
        <w:t xml:space="preserve">optional token-based auth baseline for controlled demos</w:t>
      </w:r>
    </w:p>
    <w:bookmarkEnd w:id="13"/>
    <w:bookmarkStart w:id="14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OCI Terraform starter:</w:t>
      </w:r>
      <w:r>
        <w:t xml:space="preserve"> </w:t>
      </w:r>
      <w:r>
        <w:rPr>
          <w:rStyle w:val="VerbatimChar"/>
        </w:rPr>
        <w:t xml:space="preserve">infrastructure/terraform/oci</w:t>
      </w:r>
    </w:p>
    <w:p>
      <w:pPr>
        <w:pStyle w:val="Compact"/>
        <w:numPr>
          <w:ilvl w:val="0"/>
          <w:numId w:val="1006"/>
        </w:numPr>
      </w:pPr>
      <w:r>
        <w:t xml:space="preserve">Kubernetes / OKE starter:</w:t>
      </w:r>
      <w:r>
        <w:t xml:space="preserve"> </w:t>
      </w:r>
      <w:r>
        <w:rPr>
          <w:rStyle w:val="VerbatimChar"/>
        </w:rPr>
        <w:t xml:space="preserve">infrastructure/kubernetes</w:t>
      </w:r>
    </w:p>
    <w:p>
      <w:pPr>
        <w:pStyle w:val="Compact"/>
        <w:numPr>
          <w:ilvl w:val="0"/>
          <w:numId w:val="1006"/>
        </w:numPr>
      </w:pPr>
      <w:r>
        <w:t xml:space="preserve">Docker Compose local pilot environment:</w:t>
      </w:r>
      <w:r>
        <w:t xml:space="preserve"> </w:t>
      </w:r>
      <w:r>
        <w:rPr>
          <w:rStyle w:val="VerbatimChar"/>
        </w:rPr>
        <w:t xml:space="preserve">docker-compose.yml</w:t>
      </w:r>
    </w:p>
    <w:bookmarkEnd w:id="14"/>
    <w:bookmarkStart w:id="21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7"/>
        </w:numPr>
      </w:pPr>
      <w:hyperlink r:id="rId15">
        <w:r>
          <w:rPr>
            <w:rStyle w:val="Hyperlink"/>
          </w:rPr>
          <w:t xml:space="preserve">Documentation Index</w:t>
        </w:r>
      </w:hyperlink>
    </w:p>
    <w:p>
      <w:pPr>
        <w:pStyle w:val="Compact"/>
        <w:numPr>
          <w:ilvl w:val="0"/>
          <w:numId w:val="1007"/>
        </w:numPr>
      </w:pPr>
      <w:hyperlink r:id="rId16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Repository Structure Guide</w:t>
        </w:r>
      </w:hyperlink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Invoice Workflow Guide</w:t>
        </w:r>
      </w:hyperlink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Prior Authorization Workflow Guide</w:t>
        </w:r>
      </w:hyperlink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Customer POC Playbook</w:t>
        </w:r>
      </w:hyperlink>
    </w:p>
    <w:bookmarkEnd w:id="21"/>
    <w:bookmarkStart w:id="22" w:name="repository-structure"/>
    <w:p>
      <w:pPr>
        <w:pStyle w:val="Heading2"/>
      </w:pPr>
      <w:r>
        <w:t xml:space="preserve">Repository Structure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backend/</w:t>
      </w:r>
      <w:r>
        <w:t xml:space="preserve">: FastAPI app, agents, workflows, orchestration, integrations, and audit services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frontend/</w:t>
      </w:r>
      <w:r>
        <w:t xml:space="preserve">: React/Vite operator console and studio UI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</w:t>
      </w:r>
      <w:r>
        <w:t xml:space="preserve">: architecture, delivery, and workflow documentation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infrastructure/</w:t>
      </w:r>
      <w:r>
        <w:t xml:space="preserve">: OCI Terraform and Kubernetes starters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</w:t>
      </w:r>
      <w:r>
        <w:t xml:space="preserve">: API smoke tests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workflows/</w:t>
      </w:r>
      <w:r>
        <w:t xml:space="preserve">: business workflow definitions</w:t>
      </w:r>
    </w:p>
    <w:bookmarkEnd w:id="22"/>
    <w:bookmarkStart w:id="23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Local verification commands: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frontend-build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compose-config</w:t>
      </w:r>
    </w:p>
    <w:p>
      <w:pPr>
        <w:pStyle w:val="FirstParagraph"/>
      </w:pPr>
      <w:r>
        <w:t xml:space="preserve">Full local verification: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verify</w:t>
      </w:r>
    </w:p>
    <w:p>
      <w:pPr>
        <w:pStyle w:val="FirstParagraph"/>
      </w:pPr>
      <w:r>
        <w:t xml:space="preserve">Shell-based fallback when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is unavailable or blocked by local machine</w:t>
      </w:r>
      <w:r>
        <w:t xml:space="preserve"> </w:t>
      </w:r>
      <w:r>
        <w:t xml:space="preserve">tooling: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scripts/verify_local.sh</w:t>
      </w:r>
    </w:p>
    <w:p>
      <w:pPr>
        <w:pStyle w:val="FirstParagraph"/>
      </w:pPr>
      <w:r>
        <w:t xml:space="preserve">GitHub Actions CI now validates:</w:t>
      </w:r>
    </w:p>
    <w:p>
      <w:pPr>
        <w:pStyle w:val="Compact"/>
        <w:numPr>
          <w:ilvl w:val="0"/>
          <w:numId w:val="1009"/>
        </w:numPr>
      </w:pPr>
      <w:r>
        <w:t xml:space="preserve">backend tests</w:t>
      </w:r>
    </w:p>
    <w:p>
      <w:pPr>
        <w:pStyle w:val="Compact"/>
        <w:numPr>
          <w:ilvl w:val="0"/>
          <w:numId w:val="1009"/>
        </w:numPr>
      </w:pPr>
      <w:r>
        <w:t xml:space="preserve">frontend production build</w:t>
      </w:r>
    </w:p>
    <w:p>
      <w:pPr>
        <w:pStyle w:val="Compact"/>
        <w:numPr>
          <w:ilvl w:val="0"/>
          <w:numId w:val="1009"/>
        </w:numPr>
      </w:pPr>
      <w:r>
        <w:t xml:space="preserve">Docker Compose configuration and container builds</w:t>
      </w:r>
    </w:p>
    <w:bookmarkEnd w:id="23"/>
    <w:bookmarkStart w:id="24" w:name="version-040-focus"/>
    <w:p>
      <w:pPr>
        <w:pStyle w:val="Heading2"/>
      </w:pPr>
      <w:r>
        <w:t xml:space="preserve">Version 0.4.0 focus</w:t>
      </w:r>
    </w:p>
    <w:p>
      <w:pPr>
        <w:pStyle w:val="FirstParagraph"/>
      </w:pPr>
      <w:r>
        <w:t xml:space="preserve">This revision expands the documentation and architectural guidance using three</w:t>
      </w:r>
      <w:r>
        <w:t xml:space="preserve"> </w:t>
      </w:r>
      <w:r>
        <w:t xml:space="preserve">inputs reviewed on April 29, 2026:</w:t>
      </w:r>
    </w:p>
    <w:p>
      <w:pPr>
        <w:pStyle w:val="Compact"/>
        <w:numPr>
          <w:ilvl w:val="0"/>
          <w:numId w:val="1010"/>
        </w:numPr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HybridAIAutomation</w:t>
      </w:r>
      <w:r>
        <w:t xml:space="preserve"> </w:t>
      </w:r>
      <w:r>
        <w:t xml:space="preserve">starter implementation</w:t>
      </w:r>
    </w:p>
    <w:p>
      <w:pPr>
        <w:pStyle w:val="Compact"/>
        <w:numPr>
          <w:ilvl w:val="0"/>
          <w:numId w:val="1010"/>
        </w:numPr>
      </w:pPr>
      <w:r>
        <w:t xml:space="preserve">reusable AI automation libraries already present under</w:t>
      </w:r>
      <w:r>
        <w:t xml:space="preserve"> </w:t>
      </w:r>
      <w:r>
        <w:rPr>
          <w:rStyle w:val="VerbatimChar"/>
        </w:rPr>
        <w:t xml:space="preserve">/Users/josekurian/AIAgents</w:t>
      </w:r>
    </w:p>
    <w:p>
      <w:pPr>
        <w:pStyle w:val="Compact"/>
        <w:numPr>
          <w:ilvl w:val="0"/>
          <w:numId w:val="1010"/>
        </w:numPr>
      </w:pPr>
      <w:r>
        <w:t xml:space="preserve">current OpenAI and Oracle AI platform updates relevant to MCP, agent teams,</w:t>
      </w:r>
      <w:r>
        <w:t xml:space="preserve"> </w:t>
      </w:r>
      <w:r>
        <w:t xml:space="preserve">workflow execution, and enterprise AI deployment</w:t>
      </w:r>
    </w:p>
    <w:bookmarkEnd w:id="24"/>
    <w:bookmarkStart w:id="25" w:name="reuse-priorities-from-local-ai-libraries"/>
    <w:p>
      <w:pPr>
        <w:pStyle w:val="Heading2"/>
      </w:pPr>
      <w:r>
        <w:t xml:space="preserve">Reuse priorities from local AI libraries</w:t>
      </w:r>
    </w:p>
    <w:p>
      <w:pPr>
        <w:pStyle w:val="FirstParagraph"/>
      </w:pPr>
      <w:r>
        <w:t xml:space="preserve">The highest-value assets already available locally are: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AIAgents/AIAgentProjects/MCPPlatform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AIAgents/MCPEngine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AIAgents/EnterpriseAgents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AIAgents/OracleFinancialsFrontierFullImplementation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AIAgents/AIAgentProjects/EnterpriseAgents/oracle_health</w:t>
      </w:r>
    </w:p>
    <w:p>
      <w:pPr>
        <w:pStyle w:val="FirstParagraph"/>
      </w:pPr>
      <w:r>
        <w:t xml:space="preserve">What each one should contribute here: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MCPPlatform</w:t>
      </w:r>
      <w:r>
        <w:t xml:space="preserve">: shared MCP server registry, project overlays, aliases, and</w:t>
      </w:r>
      <w:r>
        <w:t xml:space="preserve"> </w:t>
      </w:r>
      <w:r>
        <w:t xml:space="preserve">per-project allowlists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MCPEngine</w:t>
      </w:r>
      <w:r>
        <w:t xml:space="preserve">: stronger auth, policy, approval, replay protection, and durable</w:t>
      </w:r>
      <w:r>
        <w:t xml:space="preserve"> </w:t>
      </w:r>
      <w:r>
        <w:t xml:space="preserve">audit patterns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EnterpriseAgents</w:t>
      </w:r>
      <w:r>
        <w:t xml:space="preserve">: reusable cross-domain agent and workflow contracts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OracleFinancialsFrontierFullImplementation</w:t>
      </w:r>
      <w:r>
        <w:t xml:space="preserve">: Oracle Fusion finance workflow</w:t>
      </w:r>
      <w:r>
        <w:t xml:space="preserve"> </w:t>
      </w:r>
      <w:r>
        <w:t xml:space="preserve">packs, typed tool contracts, model-routing patterns, and scorecard traces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oracle_health</w:t>
      </w:r>
      <w:r>
        <w:t xml:space="preserve">: prior-auth and revenue-cycle workflow catalogs that are much</w:t>
      </w:r>
      <w:r>
        <w:t xml:space="preserve"> </w:t>
      </w:r>
      <w:r>
        <w:t xml:space="preserve">broader than the current healthcare starter</w:t>
      </w:r>
    </w:p>
    <w:bookmarkEnd w:id="25"/>
    <w:bookmarkStart w:id="26" w:name="latest-platform-implications"/>
    <w:p>
      <w:pPr>
        <w:pStyle w:val="Heading2"/>
      </w:pPr>
      <w:r>
        <w:t xml:space="preserve">Latest platform implications</w:t>
      </w:r>
    </w:p>
    <w:p>
      <w:pPr>
        <w:pStyle w:val="FirstParagraph"/>
      </w:pPr>
      <w:r>
        <w:t xml:space="preserve">OpenAI and Oracle changes reviewed as of</w:t>
      </w:r>
      <w:r>
        <w:t xml:space="preserve"> </w:t>
      </w:r>
      <w:r>
        <w:rPr>
          <w:rStyle w:val="VerbatimChar"/>
        </w:rPr>
        <w:t xml:space="preserve">2026-04-29</w:t>
      </w:r>
      <w:r>
        <w:t xml:space="preserve"> </w:t>
      </w:r>
      <w:r>
        <w:t xml:space="preserve">materially expand what</w:t>
      </w:r>
      <w:r>
        <w:t xml:space="preserve"> </w:t>
      </w:r>
      <w:r>
        <w:t xml:space="preserve">this repo can support next:</w:t>
      </w:r>
    </w:p>
    <w:p>
      <w:pPr>
        <w:pStyle w:val="Compact"/>
        <w:numPr>
          <w:ilvl w:val="0"/>
          <w:numId w:val="1013"/>
        </w:numPr>
      </w:pPr>
      <w:r>
        <w:t xml:space="preserve">OpenAI now documents remote MCP servers and connectors as first-class tools in</w:t>
      </w:r>
      <w:r>
        <w:t xml:space="preserve"> </w:t>
      </w:r>
      <w:r>
        <w:t xml:space="preserve">the Responses API, which aligns directly with the local</w:t>
      </w:r>
      <w:r>
        <w:t xml:space="preserve"> </w:t>
      </w:r>
      <w:r>
        <w:rPr>
          <w:rStyle w:val="VerbatimChar"/>
        </w:rPr>
        <w:t xml:space="preserve">MCPPlatform</w:t>
      </w:r>
      <w:r>
        <w:t xml:space="preserve"> </w:t>
      </w:r>
      <w:r>
        <w:t xml:space="preserve">reuse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13"/>
        </w:numPr>
      </w:pPr>
      <w:r>
        <w:t xml:space="preserve">OpenAI's April 2026 model and platform updates make the Responses API the</w:t>
      </w:r>
      <w:r>
        <w:t xml:space="preserve"> </w:t>
      </w:r>
      <w:r>
        <w:t xml:space="preserve">correct center of gravity for tool use, structured outputs, deep research, and</w:t>
      </w:r>
      <w:r>
        <w:t xml:space="preserve"> </w:t>
      </w:r>
      <w:r>
        <w:t xml:space="preserve">background workflows.</w:t>
      </w:r>
    </w:p>
    <w:p>
      <w:pPr>
        <w:pStyle w:val="Compact"/>
        <w:numPr>
          <w:ilvl w:val="0"/>
          <w:numId w:val="1013"/>
        </w:numPr>
      </w:pPr>
      <w:r>
        <w:t xml:space="preserve">Oracle AI Agent Studio updates from March and April 2026 move beyond single</w:t>
      </w:r>
      <w:r>
        <w:t xml:space="preserve"> </w:t>
      </w:r>
      <w:r>
        <w:t xml:space="preserve">agents into agentic applications, workflow orchestration, contextual memory,</w:t>
      </w:r>
      <w:r>
        <w:t xml:space="preserve"> </w:t>
      </w:r>
      <w:r>
        <w:t xml:space="preserve">ROI measurement, and reusable agent teams.</w:t>
      </w:r>
    </w:p>
    <w:p>
      <w:pPr>
        <w:pStyle w:val="Compact"/>
        <w:numPr>
          <w:ilvl w:val="0"/>
          <w:numId w:val="1013"/>
        </w:numPr>
      </w:pPr>
      <w:r>
        <w:t xml:space="preserve">OCI Enterprise AI reached GA on March 31, 2026 with an OpenAI</w:t>
      </w:r>
      <w:r>
        <w:t xml:space="preserve"> </w:t>
      </w:r>
      <w:r>
        <w:t xml:space="preserve">Responses-compatible API surface, tool calling, vector stores, and remote MCP</w:t>
      </w:r>
      <w:r>
        <w:t xml:space="preserve"> </w:t>
      </w:r>
      <w:r>
        <w:t xml:space="preserve">calling, which reduces integration friction for an OCI-first deployment path.</w:t>
      </w:r>
    </w:p>
    <w:bookmarkEnd w:id="26"/>
    <w:bookmarkStart w:id="27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14"/>
        </w:numPr>
      </w:pPr>
      <w:r>
        <w:t xml:space="preserve">Phase 1: Local MVP and internal demo readiness</w:t>
      </w:r>
    </w:p>
    <w:p>
      <w:pPr>
        <w:pStyle w:val="Compact"/>
        <w:numPr>
          <w:ilvl w:val="0"/>
          <w:numId w:val="1014"/>
        </w:numPr>
      </w:pPr>
      <w:r>
        <w:t xml:space="preserve">Phase 2: Customer pilots with Oracle and healthcare mock integrations</w:t>
      </w:r>
    </w:p>
    <w:p>
      <w:pPr>
        <w:pStyle w:val="Compact"/>
        <w:numPr>
          <w:ilvl w:val="0"/>
          <w:numId w:val="1014"/>
        </w:numPr>
      </w:pPr>
      <w:r>
        <w:t xml:space="preserve">Phase 3: Multi-tenant platform features, audit hardening, and auth expansion</w:t>
      </w:r>
    </w:p>
    <w:p>
      <w:pPr>
        <w:pStyle w:val="Compact"/>
        <w:numPr>
          <w:ilvl w:val="0"/>
          <w:numId w:val="1014"/>
        </w:numPr>
      </w:pPr>
      <w:r>
        <w:t xml:space="preserve">Phase 4: Production OCI deployment with real ERP, FHIR, and vector services</w: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5"/>
        </w:numPr>
      </w:pPr>
      <w:r>
        <w:t xml:space="preserve">connect real OCR and document ingestion</w:t>
      </w:r>
    </w:p>
    <w:p>
      <w:pPr>
        <w:pStyle w:val="Compact"/>
        <w:numPr>
          <w:ilvl w:val="0"/>
          <w:numId w:val="1015"/>
        </w:numPr>
      </w:pPr>
      <w:r>
        <w:t xml:space="preserve">replace mocked Oracle handoffs with service adapters</w:t>
      </w:r>
    </w:p>
    <w:p>
      <w:pPr>
        <w:pStyle w:val="Compact"/>
        <w:numPr>
          <w:ilvl w:val="0"/>
          <w:numId w:val="1015"/>
        </w:numPr>
      </w:pPr>
      <w:r>
        <w:t xml:space="preserve">add persistent storage for cases, approvals, and audit analytics</w:t>
      </w:r>
    </w:p>
    <w:p>
      <w:pPr>
        <w:pStyle w:val="Compact"/>
        <w:numPr>
          <w:ilvl w:val="0"/>
          <w:numId w:val="1015"/>
        </w:numPr>
      </w:pPr>
      <w:r>
        <w:t xml:space="preserve">replace in-memory retrieval with a true vector-backed knowledge layer</w:t>
      </w:r>
    </w:p>
    <w:p>
      <w:pPr>
        <w:pStyle w:val="Compact"/>
        <w:numPr>
          <w:ilvl w:val="0"/>
          <w:numId w:val="1015"/>
        </w:numPr>
      </w:pPr>
      <w:r>
        <w:t xml:space="preserve">add customer-specific onboarding templates and security controls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/docs/README.md" TargetMode="External" /><Relationship Type="http://schemas.openxmlformats.org/officeDocument/2006/relationships/hyperlink" Id="rId16" Target="./docs/architecture.md" TargetMode="External" /><Relationship Type="http://schemas.openxmlformats.org/officeDocument/2006/relationships/hyperlink" Id="rId20" Target="./docs/customer-poc-playbook.md" TargetMode="External" /><Relationship Type="http://schemas.openxmlformats.org/officeDocument/2006/relationships/hyperlink" Id="rId17" Target="./docs/repository-structure.md" TargetMode="External" /><Relationship Type="http://schemas.openxmlformats.org/officeDocument/2006/relationships/hyperlink" Id="rId18" Target="./docs/workflows/invoice-processing.md" TargetMode="External" /><Relationship Type="http://schemas.openxmlformats.org/officeDocument/2006/relationships/hyperlink" Id="rId19" Target="./docs/workflows/prior-authoriz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/docs/README.md" TargetMode="External" /><Relationship Type="http://schemas.openxmlformats.org/officeDocument/2006/relationships/hyperlink" Id="rId16" Target="./docs/architecture.md" TargetMode="External" /><Relationship Type="http://schemas.openxmlformats.org/officeDocument/2006/relationships/hyperlink" Id="rId20" Target="./docs/customer-poc-playbook.md" TargetMode="External" /><Relationship Type="http://schemas.openxmlformats.org/officeDocument/2006/relationships/hyperlink" Id="rId17" Target="./docs/repository-structure.md" TargetMode="External" /><Relationship Type="http://schemas.openxmlformats.org/officeDocument/2006/relationships/hyperlink" Id="rId18" Target="./docs/workflows/invoice-processing.md" TargetMode="External" /><Relationship Type="http://schemas.openxmlformats.org/officeDocument/2006/relationships/hyperlink" Id="rId19" Target="./docs/workflows/prior-authoriz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2026-04-30T21:31:00Z</dcterms:created>
  <dcterms:modified xsi:type="dcterms:W3CDTF">2026-04-30T21:31:00Z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