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6" w:name="documentation-index"/>
    <w:p>
      <w:pPr>
        <w:pStyle w:val="Heading1"/>
      </w:pPr>
      <w:r>
        <w:t xml:space="preserve">Documentation Index</w:t>
      </w:r>
    </w:p>
    <w:p>
      <w:pPr>
        <w:pStyle w:val="FirstParagraph"/>
      </w:pPr>
      <w:r>
        <w:t xml:space="preserve">Version:</w:t>
      </w:r>
      <w:r>
        <w:t xml:space="preserve"> </w:t>
      </w:r>
      <w:r>
        <w:rPr>
          <w:rStyle w:val="VerbatimChar"/>
        </w:rPr>
        <w:t xml:space="preserve">0.4.0</w:t>
      </w:r>
      <w:r>
        <w:t xml:space="preserve"> </w:t>
      </w:r>
      <w:r>
        <w:t xml:space="preserve">Last updated:</w:t>
      </w:r>
      <w:r>
        <w:t xml:space="preserve"> </w:t>
      </w:r>
      <w:r>
        <w:rPr>
          <w:rStyle w:val="VerbatimChar"/>
        </w:rPr>
        <w:t xml:space="preserve">2026-04-30</w:t>
      </w:r>
    </w:p>
    <w:p>
      <w:pPr>
        <w:pStyle w:val="BodyText"/>
      </w:pPr>
      <w:r>
        <w:t xml:space="preserve">This directory documents the current starter implementation in two layers:</w:t>
      </w:r>
    </w:p>
    <w:p>
      <w:pPr>
        <w:pStyle w:val="Compact"/>
        <w:numPr>
          <w:ilvl w:val="0"/>
          <w:numId w:val="1001"/>
        </w:numPr>
      </w:pPr>
      <w:r>
        <w:t xml:space="preserve">Project phases: how the platform is assembled, how requests move through the</w:t>
      </w:r>
      <w:r>
        <w:t xml:space="preserve"> </w:t>
      </w:r>
      <w:r>
        <w:t xml:space="preserve">runtime, and how the local deployment is validated.</w:t>
      </w:r>
    </w:p>
    <w:p>
      <w:pPr>
        <w:pStyle w:val="Compact"/>
        <w:numPr>
          <w:ilvl w:val="0"/>
          <w:numId w:val="1001"/>
        </w:numPr>
      </w:pPr>
      <w:r>
        <w:t xml:space="preserve">Workflow phases: how each business flow is broken into explicit steps, routing</w:t>
      </w:r>
      <w:r>
        <w:t xml:space="preserve"> </w:t>
      </w:r>
      <w:r>
        <w:t xml:space="preserve">decisions, and escalation points.</w:t>
      </w:r>
    </w:p>
    <w:bookmarkStart w:id="20" w:name="recommended-reading-order"/>
    <w:p>
      <w:pPr>
        <w:pStyle w:val="Heading2"/>
      </w:pPr>
      <w:r>
        <w:t xml:space="preserve">Recommended reading order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Repository Structure Guide</w:t>
        </w:r>
      </w:hyperlink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Phase 1: Foundation and Bootstrap</w:t>
        </w:r>
      </w:hyperlink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Phase 2: Request Intake and Routing</w:t>
        </w:r>
      </w:hyperlink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Phase 3: Retrieval and Domain Analysis</w:t>
        </w:r>
      </w:hyperlink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Phase 4: AI Enrichment and Fallback</w:t>
        </w:r>
      </w:hyperlink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Phase 5: Frontend Operator Console</w:t>
        </w:r>
      </w:hyperlink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Phase 6: Deployment, Validation, and Extension</w:t>
        </w:r>
      </w:hyperlink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Invoice Workflow Guide</w:t>
        </w:r>
      </w:hyperlink>
    </w:p>
    <w:p>
      <w:pPr>
        <w:pStyle w:val="Compact"/>
        <w:numPr>
          <w:ilvl w:val="0"/>
          <w:numId w:val="1002"/>
        </w:numPr>
      </w:pPr>
      <w:hyperlink r:id="rId18">
        <w:r>
          <w:rPr>
            <w:rStyle w:val="Hyperlink"/>
          </w:rPr>
          <w:t xml:space="preserve">Prior Authorization Workflow Guide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Customer POC Playbook</w:t>
        </w:r>
      </w:hyperlink>
    </w:p>
    <w:bookmarkEnd w:id="20"/>
    <w:bookmarkStart w:id="21" w:name="documentation-map"/>
    <w:p>
      <w:pPr>
        <w:pStyle w:val="Heading2"/>
      </w:pPr>
      <w:r>
        <w:t xml:space="preserve">Documentation map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</w:pPr>
            <w:r>
              <w:t xml:space="preserve">High-level component map, runtime path, and deployment 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repository-structure.md</w:t>
            </w:r>
          </w:p>
        </w:tc>
        <w:tc>
          <w:tcPr/>
          <w:p>
            <w:pPr>
              <w:pStyle w:val="Compact"/>
            </w:pPr>
            <w:r>
              <w:t xml:space="preserve">Detailed directory-by-directory guide for backend, frontend, infrastructure, and 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phases/</w:t>
            </w:r>
          </w:p>
        </w:tc>
        <w:tc>
          <w:tcPr/>
          <w:p>
            <w:pPr>
              <w:pStyle w:val="Compact"/>
            </w:pPr>
            <w:r>
              <w:t xml:space="preserve">Project lifecycle and request-processing phases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workflows/</w:t>
            </w:r>
          </w:p>
        </w:tc>
        <w:tc>
          <w:tcPr/>
          <w:p>
            <w:pPr>
              <w:pStyle w:val="Compact"/>
            </w:pPr>
            <w:r>
              <w:t xml:space="preserve">Step-by-step business workflow execution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customer-poc-playbook.md</w:t>
            </w:r>
          </w:p>
        </w:tc>
        <w:tc>
          <w:tcPr/>
          <w:p>
            <w:pPr>
              <w:pStyle w:val="Compact"/>
            </w:pPr>
            <w:r>
              <w:t xml:space="preserve">Delivery, demo, and expansion guidance for new customer pilots</w:t>
            </w:r>
          </w:p>
        </w:tc>
      </w:tr>
    </w:tbl>
    <w:bookmarkEnd w:id="21"/>
    <w:bookmarkStart w:id="22" w:name="revision-040-additions"/>
    <w:p>
      <w:pPr>
        <w:pStyle w:val="Heading2"/>
      </w:pPr>
      <w:r>
        <w:t xml:space="preserve">Revision 0.4.0 additions</w:t>
      </w:r>
    </w:p>
    <w:p>
      <w:pPr>
        <w:pStyle w:val="FirstParagraph"/>
      </w:pPr>
      <w:r>
        <w:t xml:space="preserve">This documentation revision adds four kinds of detail:</w:t>
      </w:r>
    </w:p>
    <w:p>
      <w:pPr>
        <w:pStyle w:val="Compact"/>
        <w:numPr>
          <w:ilvl w:val="0"/>
          <w:numId w:val="1003"/>
        </w:numPr>
      </w:pPr>
      <w:r>
        <w:t xml:space="preserve">versioned document control across the existing project docs</w:t>
      </w:r>
    </w:p>
    <w:p>
      <w:pPr>
        <w:pStyle w:val="Compact"/>
        <w:numPr>
          <w:ilvl w:val="0"/>
          <w:numId w:val="1003"/>
        </w:numPr>
      </w:pPr>
      <w:r>
        <w:t xml:space="preserve">reuse guidance based on the existing</w:t>
      </w:r>
      <w:r>
        <w:t xml:space="preserve"> </w:t>
      </w:r>
      <w:r>
        <w:rPr>
          <w:rStyle w:val="VerbatimChar"/>
        </w:rPr>
        <w:t xml:space="preserve">/Users/josekurian/AIAgents</w:t>
      </w:r>
      <w:r>
        <w:t xml:space="preserve"> </w:t>
      </w:r>
      <w:r>
        <w:t xml:space="preserve">portfolio</w:t>
      </w:r>
    </w:p>
    <w:p>
      <w:pPr>
        <w:pStyle w:val="Compact"/>
        <w:numPr>
          <w:ilvl w:val="0"/>
          <w:numId w:val="1003"/>
        </w:numPr>
      </w:pPr>
      <w:r>
        <w:t xml:space="preserve">explicit mapping to MCP servers, Oracle Fusion AI agents, and Oracle AI Agent</w:t>
      </w:r>
      <w:r>
        <w:t xml:space="preserve"> </w:t>
      </w:r>
      <w:r>
        <w:t xml:space="preserve">Studio workflow assets already developed in other local projects</w:t>
      </w:r>
    </w:p>
    <w:p>
      <w:pPr>
        <w:pStyle w:val="Compact"/>
        <w:numPr>
          <w:ilvl w:val="0"/>
          <w:numId w:val="1003"/>
        </w:numPr>
      </w:pPr>
      <w:r>
        <w:t xml:space="preserve">dated OpenAI and Oracle platform update guidance current as of</w:t>
      </w:r>
      <w:r>
        <w:t xml:space="preserve"> </w:t>
      </w:r>
      <w:r>
        <w:rPr>
          <w:rStyle w:val="VerbatimChar"/>
        </w:rPr>
        <w:t xml:space="preserve">2026-04-29</w:t>
      </w:r>
    </w:p>
    <w:bookmarkEnd w:id="22"/>
    <w:bookmarkStart w:id="23" w:name="Xd75e5af243604a0c03a832ab7a77065a417076b"/>
    <w:p>
      <w:pPr>
        <w:pStyle w:val="Heading2"/>
      </w:pPr>
      <w:r>
        <w:t xml:space="preserve">Key findings from the local portfolio review</w:t>
      </w:r>
    </w:p>
    <w:p>
      <w:pPr>
        <w:pStyle w:val="FirstParagraph"/>
      </w:pPr>
      <w:r>
        <w:t xml:space="preserve">The strongest reuse opportunities came from: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AIAgents/AIAgentProjects/MCPPlatform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AIAgents/MCPEngine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AIAgents/EnterpriseAgents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AIAgents/OracleFinancialsFrontierFullImplementation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AIAgents/AIAgentProjects/EnterpriseAgents/oracle_health</w:t>
      </w:r>
    </w:p>
    <w:p>
      <w:pPr>
        <w:pStyle w:val="FirstParagraph"/>
      </w:pPr>
      <w:r>
        <w:t xml:space="preserve">Important inventory signals: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AIAgents/docs/AI_AGENTS_AND_WORKFLOWS_PROJECT_INVENTORY_2026-04-10.md</w:t>
      </w:r>
      <w:r>
        <w:t xml:space="preserve"> </w:t>
      </w:r>
      <w:r>
        <w:t xml:space="preserve">reports</w:t>
      </w:r>
      <w:r>
        <w:t xml:space="preserve"> </w:t>
      </w:r>
      <w:r>
        <w:rPr>
          <w:rStyle w:val="VerbatimChar"/>
        </w:rPr>
        <w:t xml:space="preserve">1156</w:t>
      </w:r>
      <w:r>
        <w:t xml:space="preserve"> </w:t>
      </w:r>
      <w:r>
        <w:t xml:space="preserve">agent entries and</w:t>
      </w:r>
      <w:r>
        <w:t xml:space="preserve"> </w:t>
      </w:r>
      <w:r>
        <w:rPr>
          <w:rStyle w:val="VerbatimChar"/>
        </w:rPr>
        <w:t xml:space="preserve">279</w:t>
      </w:r>
      <w:r>
        <w:t xml:space="preserve"> </w:t>
      </w:r>
      <w:r>
        <w:t xml:space="preserve">workflow entries across the local</w:t>
      </w:r>
      <w:r>
        <w:t xml:space="preserve"> </w:t>
      </w:r>
      <w:r>
        <w:t xml:space="preserve">portfolio.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AIAgents/docs/AI_AGENT_TEAMS_PROJECT_INVENTORY_AND_RECOMMENDATIONS_2026-04-28.md</w:t>
      </w:r>
      <w:r>
        <w:t xml:space="preserve"> </w:t>
      </w:r>
      <w:r>
        <w:t xml:space="preserve">identifies</w:t>
      </w:r>
      <w:r>
        <w:t xml:space="preserve"> </w:t>
      </w:r>
      <w:r>
        <w:rPr>
          <w:rStyle w:val="VerbatimChar"/>
        </w:rPr>
        <w:t xml:space="preserve">18</w:t>
      </w:r>
      <w:r>
        <w:t xml:space="preserve"> </w:t>
      </w:r>
      <w:r>
        <w:t xml:space="preserve">explicit runtime teams and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workflow-defined team</w:t>
      </w:r>
      <w:r>
        <w:t xml:space="preserve"> </w:t>
      </w:r>
      <w:r>
        <w:t xml:space="preserve">compositions already available for reuse or adaptation.</w:t>
      </w:r>
    </w:p>
    <w:bookmarkEnd w:id="23"/>
    <w:bookmarkStart w:id="24" w:name="recommended-reading-for-the-new-material"/>
    <w:p>
      <w:pPr>
        <w:pStyle w:val="Heading2"/>
      </w:pPr>
      <w:r>
        <w:t xml:space="preserve">Recommended reading for the new material</w:t>
      </w:r>
    </w:p>
    <w:p>
      <w:pPr>
        <w:pStyle w:val="Compact"/>
        <w:numPr>
          <w:ilvl w:val="0"/>
          <w:numId w:val="1006"/>
        </w:numPr>
      </w:pPr>
      <w:hyperlink r:id="rId9">
        <w:r>
          <w:rPr>
            <w:rStyle w:val="Hyperlink"/>
          </w:rPr>
          <w:t xml:space="preserve">Architecture Overview</w:t>
        </w:r>
      </w:hyperlink>
    </w:p>
    <w:p>
      <w:pPr>
        <w:pStyle w:val="Compact"/>
        <w:numPr>
          <w:ilvl w:val="0"/>
          <w:numId w:val="1006"/>
        </w:numPr>
      </w:pPr>
      <w:hyperlink r:id="rId19">
        <w:r>
          <w:rPr>
            <w:rStyle w:val="Hyperlink"/>
          </w:rPr>
          <w:t xml:space="preserve">Customer POC Playbook</w:t>
        </w:r>
      </w:hyperlink>
    </w:p>
    <w:p>
      <w:pPr>
        <w:pStyle w:val="Compact"/>
        <w:numPr>
          <w:ilvl w:val="0"/>
          <w:numId w:val="1006"/>
        </w:numPr>
      </w:pPr>
      <w:r>
        <w:t xml:space="preserve">the six phase guides in order</w:t>
      </w:r>
    </w:p>
    <w:p>
      <w:pPr>
        <w:pStyle w:val="Compact"/>
        <w:numPr>
          <w:ilvl w:val="0"/>
          <w:numId w:val="1006"/>
        </w:numPr>
      </w:pPr>
      <w:r>
        <w:t xml:space="preserve">the workflow guides for invoice and prior authorization</w:t>
      </w:r>
    </w:p>
    <w:bookmarkEnd w:id="24"/>
    <w:bookmarkStart w:id="25" w:name="scope-note"/>
    <w:p>
      <w:pPr>
        <w:pStyle w:val="Heading2"/>
      </w:pPr>
      <w:r>
        <w:t xml:space="preserve">Scope note</w:t>
      </w:r>
    </w:p>
    <w:p>
      <w:pPr>
        <w:pStyle w:val="FirstParagraph"/>
      </w:pPr>
      <w:r>
        <w:t xml:space="preserve">These documents describe the repository as it exists today:</w:t>
      </w:r>
    </w:p>
    <w:p>
      <w:pPr>
        <w:pStyle w:val="Compact"/>
        <w:numPr>
          <w:ilvl w:val="0"/>
          <w:numId w:val="1007"/>
        </w:numPr>
      </w:pPr>
      <w:r>
        <w:t xml:space="preserve">FastAPI backend</w:t>
      </w:r>
    </w:p>
    <w:p>
      <w:pPr>
        <w:pStyle w:val="Compact"/>
        <w:numPr>
          <w:ilvl w:val="0"/>
          <w:numId w:val="1007"/>
        </w:numPr>
      </w:pPr>
      <w:r>
        <w:t xml:space="preserve">React/Vite frontend</w:t>
      </w:r>
    </w:p>
    <w:p>
      <w:pPr>
        <w:pStyle w:val="Compact"/>
        <w:numPr>
          <w:ilvl w:val="0"/>
          <w:numId w:val="1007"/>
        </w:numPr>
      </w:pPr>
      <w:r>
        <w:t xml:space="preserve">Deterministic local extraction</w:t>
      </w:r>
    </w:p>
    <w:p>
      <w:pPr>
        <w:pStyle w:val="Compact"/>
        <w:numPr>
          <w:ilvl w:val="0"/>
          <w:numId w:val="1007"/>
        </w:numPr>
      </w:pPr>
      <w:r>
        <w:t xml:space="preserve">Optional OpenAI and OCI summary layers</w:t>
      </w:r>
    </w:p>
    <w:p>
      <w:pPr>
        <w:pStyle w:val="Compact"/>
        <w:numPr>
          <w:ilvl w:val="0"/>
          <w:numId w:val="1007"/>
        </w:numPr>
      </w:pPr>
      <w:r>
        <w:t xml:space="preserve">Docker Compose, OCI Terraform, and Kubernetes starter assets</w:t>
      </w:r>
    </w:p>
    <w:p>
      <w:pPr>
        <w:pStyle w:val="FirstParagraph"/>
      </w:pPr>
      <w:r>
        <w:t xml:space="preserve">They also call out where the implementation is intentionally a starter and where</w:t>
      </w:r>
      <w:r>
        <w:t xml:space="preserve"> </w:t>
      </w:r>
      <w:r>
        <w:t xml:space="preserve">production hardening still needs to be added.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architecture.md" TargetMode="External" /><Relationship Type="http://schemas.openxmlformats.org/officeDocument/2006/relationships/hyperlink" Id="rId19" Target="./customer-poc-playbook.md" TargetMode="External" /><Relationship Type="http://schemas.openxmlformats.org/officeDocument/2006/relationships/hyperlink" Id="rId11" Target="./phases/phase-1-foundation-and-bootstrap.md" TargetMode="External" /><Relationship Type="http://schemas.openxmlformats.org/officeDocument/2006/relationships/hyperlink" Id="rId12" Target="./phases/phase-2-request-intake-and-routing.md" TargetMode="External" /><Relationship Type="http://schemas.openxmlformats.org/officeDocument/2006/relationships/hyperlink" Id="rId13" Target="./phases/phase-3-retrieval-and-domain-analysis.md" TargetMode="External" /><Relationship Type="http://schemas.openxmlformats.org/officeDocument/2006/relationships/hyperlink" Id="rId14" Target="./phases/phase-4-ai-enrichment-and-fallback.md" TargetMode="External" /><Relationship Type="http://schemas.openxmlformats.org/officeDocument/2006/relationships/hyperlink" Id="rId15" Target="./phases/phase-5-frontend-operator-console.md" TargetMode="External" /><Relationship Type="http://schemas.openxmlformats.org/officeDocument/2006/relationships/hyperlink" Id="rId16" Target="./phases/phase-6-deployment-validation-and-extension.md" TargetMode="External" /><Relationship Type="http://schemas.openxmlformats.org/officeDocument/2006/relationships/hyperlink" Id="rId10" Target="./repository-structure.md" TargetMode="External" /><Relationship Type="http://schemas.openxmlformats.org/officeDocument/2006/relationships/hyperlink" Id="rId17" Target="./workflows/invoice-processing.md" TargetMode="External" /><Relationship Type="http://schemas.openxmlformats.org/officeDocument/2006/relationships/hyperlink" Id="rId18" Target="./workflows/prior-authoriz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architecture.md" TargetMode="External" /><Relationship Type="http://schemas.openxmlformats.org/officeDocument/2006/relationships/hyperlink" Id="rId19" Target="./customer-poc-playbook.md" TargetMode="External" /><Relationship Type="http://schemas.openxmlformats.org/officeDocument/2006/relationships/hyperlink" Id="rId11" Target="./phases/phase-1-foundation-and-bootstrap.md" TargetMode="External" /><Relationship Type="http://schemas.openxmlformats.org/officeDocument/2006/relationships/hyperlink" Id="rId12" Target="./phases/phase-2-request-intake-and-routing.md" TargetMode="External" /><Relationship Type="http://schemas.openxmlformats.org/officeDocument/2006/relationships/hyperlink" Id="rId13" Target="./phases/phase-3-retrieval-and-domain-analysis.md" TargetMode="External" /><Relationship Type="http://schemas.openxmlformats.org/officeDocument/2006/relationships/hyperlink" Id="rId14" Target="./phases/phase-4-ai-enrichment-and-fallback.md" TargetMode="External" /><Relationship Type="http://schemas.openxmlformats.org/officeDocument/2006/relationships/hyperlink" Id="rId15" Target="./phases/phase-5-frontend-operator-console.md" TargetMode="External" /><Relationship Type="http://schemas.openxmlformats.org/officeDocument/2006/relationships/hyperlink" Id="rId16" Target="./phases/phase-6-deployment-validation-and-extension.md" TargetMode="External" /><Relationship Type="http://schemas.openxmlformats.org/officeDocument/2006/relationships/hyperlink" Id="rId10" Target="./repository-structure.md" TargetMode="External" /><Relationship Type="http://schemas.openxmlformats.org/officeDocument/2006/relationships/hyperlink" Id="rId17" Target="./workflows/invoice-processing.md" TargetMode="External" /><Relationship Type="http://schemas.openxmlformats.org/officeDocument/2006/relationships/hyperlink" Id="rId18" Target="./workflows/prior-authoriz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2026-04-30T21:29:54Z</dcterms:created>
  <dcterms:modified xsi:type="dcterms:W3CDTF">2026-04-30T21:29:54Z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