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Customer Poc Playbook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customer-poc-playbook"/>
    <w:p>
      <w:pPr>
        <w:pStyle w:val="Heading1"/>
      </w:pPr>
      <w:r>
        <w:t xml:space="preserve">Customer POC Playbook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0.4.0</w:t>
      </w:r>
      <w:r>
        <w:t xml:space="preserve"> </w:t>
      </w:r>
      <w:r>
        <w:t xml:space="preserve">Last updated:</w:t>
      </w:r>
      <w:r>
        <w:t xml:space="preserve"> </w:t>
      </w:r>
      <w:r>
        <w:rPr>
          <w:rStyle w:val="VerbatimChar"/>
        </w:rPr>
        <w:t xml:space="preserve">2026-04-29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Use this repository not only as an engineering starter, but as a repeatable</w:t>
      </w:r>
      <w:r>
        <w:t xml:space="preserve"> </w:t>
      </w:r>
      <w:r>
        <w:t xml:space="preserve">delivery package for new customer POCs in finance and healthcare.</w:t>
      </w:r>
    </w:p>
    <w:bookmarkEnd w:id="9"/>
    <w:bookmarkStart w:id="10" w:name="what-customers-usually-need-to-see"/>
    <w:p>
      <w:pPr>
        <w:pStyle w:val="Heading2"/>
      </w:pPr>
      <w:r>
        <w:t xml:space="preserve">What customers usually need to see</w:t>
      </w:r>
    </w:p>
    <w:p>
      <w:pPr>
        <w:pStyle w:val="FirstParagraph"/>
      </w:pPr>
      <w:r>
        <w:t xml:space="preserve">For a pilot to convert, the customer usually needs evidence in four areas:</w:t>
      </w:r>
    </w:p>
    <w:p>
      <w:pPr>
        <w:pStyle w:val="Compact"/>
        <w:numPr>
          <w:ilvl w:val="0"/>
          <w:numId w:val="1001"/>
        </w:numPr>
      </w:pPr>
      <w:r>
        <w:t xml:space="preserve">Business relevance</w:t>
      </w:r>
    </w:p>
    <w:p>
      <w:pPr>
        <w:pStyle w:val="Compact"/>
        <w:numPr>
          <w:ilvl w:val="0"/>
          <w:numId w:val="1001"/>
        </w:numPr>
      </w:pPr>
      <w:r>
        <w:t xml:space="preserve">Explainability</w:t>
      </w:r>
    </w:p>
    <w:p>
      <w:pPr>
        <w:pStyle w:val="Compact"/>
        <w:numPr>
          <w:ilvl w:val="0"/>
          <w:numId w:val="1001"/>
        </w:numPr>
      </w:pPr>
      <w:r>
        <w:t xml:space="preserve">Integration readiness</w:t>
      </w:r>
    </w:p>
    <w:p>
      <w:pPr>
        <w:pStyle w:val="Compact"/>
        <w:numPr>
          <w:ilvl w:val="0"/>
          <w:numId w:val="1001"/>
        </w:numPr>
      </w:pPr>
      <w:r>
        <w:t xml:space="preserve">Operational control</w:t>
      </w:r>
    </w:p>
    <w:p>
      <w:pPr>
        <w:pStyle w:val="FirstParagraph"/>
      </w:pPr>
      <w:r>
        <w:t xml:space="preserve">This starter now supports all four at a baseline level.</w:t>
      </w:r>
    </w:p>
    <w:bookmarkEnd w:id="10"/>
    <w:bookmarkStart w:id="16" w:name="poc-success-pattern"/>
    <w:p>
      <w:pPr>
        <w:pStyle w:val="Heading2"/>
      </w:pPr>
      <w:r>
        <w:t xml:space="preserve">POC success pattern</w:t>
      </w:r>
    </w:p>
    <w:bookmarkStart w:id="11" w:name="phase-1-discovery-and-scoping"/>
    <w:p>
      <w:pPr>
        <w:pStyle w:val="Heading3"/>
      </w:pPr>
      <w:r>
        <w:t xml:space="preserve">Phase 1: Discovery and scoping</w:t>
      </w:r>
    </w:p>
    <w:p>
      <w:pPr>
        <w:pStyle w:val="FirstParagraph"/>
      </w:pPr>
      <w:r>
        <w:t xml:space="preserve">Capture these before building customer-specific features:</w:t>
      </w:r>
    </w:p>
    <w:p>
      <w:pPr>
        <w:pStyle w:val="Compact"/>
        <w:numPr>
          <w:ilvl w:val="0"/>
          <w:numId w:val="1002"/>
        </w:numPr>
      </w:pPr>
      <w:r>
        <w:t xml:space="preserve">target business process</w:t>
      </w:r>
    </w:p>
    <w:p>
      <w:pPr>
        <w:pStyle w:val="Compact"/>
        <w:numPr>
          <w:ilvl w:val="0"/>
          <w:numId w:val="1002"/>
        </w:numPr>
      </w:pPr>
      <w:r>
        <w:t xml:space="preserve">document types and sample volume</w:t>
      </w:r>
    </w:p>
    <w:p>
      <w:pPr>
        <w:pStyle w:val="Compact"/>
        <w:numPr>
          <w:ilvl w:val="0"/>
          <w:numId w:val="1002"/>
        </w:numPr>
      </w:pPr>
      <w:r>
        <w:t xml:space="preserve">source systems</w:t>
      </w:r>
    </w:p>
    <w:p>
      <w:pPr>
        <w:pStyle w:val="Compact"/>
        <w:numPr>
          <w:ilvl w:val="0"/>
          <w:numId w:val="1002"/>
        </w:numPr>
      </w:pPr>
      <w:r>
        <w:t xml:space="preserve">approval thresholds</w:t>
      </w:r>
    </w:p>
    <w:p>
      <w:pPr>
        <w:pStyle w:val="Compact"/>
        <w:numPr>
          <w:ilvl w:val="0"/>
          <w:numId w:val="1002"/>
        </w:numPr>
      </w:pPr>
      <w:r>
        <w:t xml:space="preserve">compliance constraints</w:t>
      </w:r>
    </w:p>
    <w:p>
      <w:pPr>
        <w:pStyle w:val="Compact"/>
        <w:numPr>
          <w:ilvl w:val="0"/>
          <w:numId w:val="1002"/>
        </w:numPr>
      </w:pPr>
      <w:r>
        <w:t xml:space="preserve">pilot success criteria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03"/>
        </w:numPr>
      </w:pPr>
      <w:r>
        <w:t xml:space="preserve">one-page pilot scope</w:t>
      </w:r>
    </w:p>
    <w:p>
      <w:pPr>
        <w:pStyle w:val="Compact"/>
        <w:numPr>
          <w:ilvl w:val="0"/>
          <w:numId w:val="1003"/>
        </w:numPr>
      </w:pPr>
      <w:r>
        <w:t xml:space="preserve">documented input samples</w:t>
      </w:r>
    </w:p>
    <w:p>
      <w:pPr>
        <w:pStyle w:val="Compact"/>
        <w:numPr>
          <w:ilvl w:val="0"/>
          <w:numId w:val="1003"/>
        </w:numPr>
      </w:pPr>
      <w:r>
        <w:t xml:space="preserve">explicit success metrics</w:t>
      </w:r>
    </w:p>
    <w:bookmarkEnd w:id="11"/>
    <w:bookmarkStart w:id="12" w:name="X2c6e69f2c5c644d23dff4093ceaed4d3b5942b2"/>
    <w:p>
      <w:pPr>
        <w:pStyle w:val="Heading3"/>
      </w:pPr>
      <w:r>
        <w:t xml:space="preserve">Phase 2: Demo with believable workflow output</w:t>
      </w:r>
    </w:p>
    <w:p>
      <w:pPr>
        <w:pStyle w:val="FirstParagraph"/>
      </w:pPr>
      <w:r>
        <w:t xml:space="preserve">Use the current repo to demonstrate:</w:t>
      </w:r>
    </w:p>
    <w:p>
      <w:pPr>
        <w:pStyle w:val="Compact"/>
        <w:numPr>
          <w:ilvl w:val="0"/>
          <w:numId w:val="1004"/>
        </w:numPr>
      </w:pPr>
      <w:r>
        <w:t xml:space="preserve">workflow steps</w:t>
      </w:r>
    </w:p>
    <w:p>
      <w:pPr>
        <w:pStyle w:val="Compact"/>
        <w:numPr>
          <w:ilvl w:val="0"/>
          <w:numId w:val="1004"/>
        </w:numPr>
      </w:pPr>
      <w:r>
        <w:t xml:space="preserve">extracted fields</w:t>
      </w:r>
    </w:p>
    <w:p>
      <w:pPr>
        <w:pStyle w:val="Compact"/>
        <w:numPr>
          <w:ilvl w:val="0"/>
          <w:numId w:val="1004"/>
        </w:numPr>
      </w:pPr>
      <w:r>
        <w:t xml:space="preserve">routing target</w:t>
      </w:r>
    </w:p>
    <w:p>
      <w:pPr>
        <w:pStyle w:val="Compact"/>
        <w:numPr>
          <w:ilvl w:val="0"/>
          <w:numId w:val="1004"/>
        </w:numPr>
      </w:pPr>
      <w:r>
        <w:t xml:space="preserve">decision trace</w:t>
      </w:r>
    </w:p>
    <w:p>
      <w:pPr>
        <w:pStyle w:val="Compact"/>
        <w:numPr>
          <w:ilvl w:val="0"/>
          <w:numId w:val="1004"/>
        </w:numPr>
      </w:pPr>
      <w:r>
        <w:t xml:space="preserve">mocked Oracle handoff</w:t>
      </w:r>
    </w:p>
    <w:p>
      <w:pPr>
        <w:pStyle w:val="Compact"/>
        <w:numPr>
          <w:ilvl w:val="0"/>
          <w:numId w:val="1004"/>
        </w:numPr>
      </w:pPr>
      <w:r>
        <w:t xml:space="preserve">audit event ID</w:t>
      </w:r>
    </w:p>
    <w:p>
      <w:pPr>
        <w:pStyle w:val="FirstParagraph"/>
      </w:pPr>
      <w:r>
        <w:t xml:space="preserve">This is stronger than a generic AI chat demo because it looks like an</w:t>
      </w:r>
      <w:r>
        <w:t xml:space="preserve"> </w:t>
      </w:r>
      <w:r>
        <w:t xml:space="preserve">operations tool, not just a model response.</w:t>
      </w:r>
    </w:p>
    <w:bookmarkEnd w:id="12"/>
    <w:bookmarkStart w:id="13" w:name="Xd6381a15e745f95d6cce1ee2e19ed6c8e470f50"/>
    <w:p>
      <w:pPr>
        <w:pStyle w:val="Heading3"/>
      </w:pPr>
      <w:r>
        <w:t xml:space="preserve">Phase 3: Add customer-specific business rules</w:t>
      </w:r>
    </w:p>
    <w:p>
      <w:pPr>
        <w:pStyle w:val="FirstParagraph"/>
      </w:pPr>
      <w:r>
        <w:t xml:space="preserve">The fastest way to improve close probability is to encode one or two rules that</w:t>
      </w:r>
      <w:r>
        <w:t xml:space="preserve"> </w:t>
      </w:r>
      <w:r>
        <w:t xml:space="preserve">the customer immediately recognizes as theirs.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invoice approval thresholds by business unit</w:t>
      </w:r>
    </w:p>
    <w:p>
      <w:pPr>
        <w:pStyle w:val="Compact"/>
        <w:numPr>
          <w:ilvl w:val="0"/>
          <w:numId w:val="1005"/>
        </w:numPr>
      </w:pPr>
      <w:r>
        <w:t xml:space="preserve">required PO behavior by spend type</w:t>
      </w:r>
    </w:p>
    <w:p>
      <w:pPr>
        <w:pStyle w:val="Compact"/>
        <w:numPr>
          <w:ilvl w:val="0"/>
          <w:numId w:val="1005"/>
        </w:numPr>
      </w:pPr>
      <w:r>
        <w:t xml:space="preserve">payer-specific prior auth review rules</w:t>
      </w:r>
    </w:p>
    <w:p>
      <w:pPr>
        <w:pStyle w:val="Compact"/>
        <w:numPr>
          <w:ilvl w:val="0"/>
          <w:numId w:val="1005"/>
        </w:numPr>
      </w:pPr>
      <w:r>
        <w:t xml:space="preserve">diagnosis-to-procedure exceptions</w:t>
      </w:r>
    </w:p>
    <w:bookmarkEnd w:id="13"/>
    <w:bookmarkStart w:id="14" w:name="X2575400e42faf293579be403d1b66a5c138362e"/>
    <w:p>
      <w:pPr>
        <w:pStyle w:val="Heading3"/>
      </w:pPr>
      <w:r>
        <w:t xml:space="preserve">Phase 4: Swap mocks for guided integrations</w:t>
      </w:r>
    </w:p>
    <w:p>
      <w:pPr>
        <w:pStyle w:val="FirstParagraph"/>
      </w:pPr>
      <w:r>
        <w:t xml:space="preserve">Do not wait for production integration to start the pilot. Replace mocks in</w:t>
      </w:r>
      <w:r>
        <w:t xml:space="preserve"> </w:t>
      </w:r>
      <w:r>
        <w:t xml:space="preserve">layers:</w:t>
      </w:r>
    </w:p>
    <w:p>
      <w:pPr>
        <w:pStyle w:val="Compact"/>
        <w:numPr>
          <w:ilvl w:val="0"/>
          <w:numId w:val="1006"/>
        </w:numPr>
      </w:pPr>
      <w:r>
        <w:t xml:space="preserve">first: mocked Oracle handoff objects</w:t>
      </w:r>
    </w:p>
    <w:p>
      <w:pPr>
        <w:pStyle w:val="Compact"/>
        <w:numPr>
          <w:ilvl w:val="0"/>
          <w:numId w:val="1006"/>
        </w:numPr>
      </w:pPr>
      <w:r>
        <w:t xml:space="preserve">second: API contract adapters</w:t>
      </w:r>
    </w:p>
    <w:p>
      <w:pPr>
        <w:pStyle w:val="Compact"/>
        <w:numPr>
          <w:ilvl w:val="0"/>
          <w:numId w:val="1006"/>
        </w:numPr>
      </w:pPr>
      <w:r>
        <w:t xml:space="preserve">third: non-production environment integration</w:t>
      </w:r>
    </w:p>
    <w:p>
      <w:pPr>
        <w:pStyle w:val="Compact"/>
        <w:numPr>
          <w:ilvl w:val="0"/>
          <w:numId w:val="1006"/>
        </w:numPr>
      </w:pPr>
      <w:r>
        <w:t xml:space="preserve">fourth: production-hardening and monitoring</w:t>
      </w:r>
    </w:p>
    <w:bookmarkEnd w:id="14"/>
    <w:bookmarkStart w:id="15" w:name="Xffc40596281142d91f0234ef683e1d62eff344f"/>
    <w:p>
      <w:pPr>
        <w:pStyle w:val="Heading3"/>
      </w:pPr>
      <w:r>
        <w:t xml:space="preserve">Phase 5: Close with auditability and control</w:t>
      </w:r>
    </w:p>
    <w:p>
      <w:pPr>
        <w:pStyle w:val="FirstParagraph"/>
      </w:pPr>
      <w:r>
        <w:t xml:space="preserve">Customers buy faster when they can answer:</w:t>
      </w:r>
    </w:p>
    <w:p>
      <w:pPr>
        <w:pStyle w:val="Compact"/>
        <w:numPr>
          <w:ilvl w:val="0"/>
          <w:numId w:val="1007"/>
        </w:numPr>
      </w:pPr>
      <w:r>
        <w:t xml:space="preserve">who ran the automation</w:t>
      </w:r>
    </w:p>
    <w:p>
      <w:pPr>
        <w:pStyle w:val="Compact"/>
        <w:numPr>
          <w:ilvl w:val="0"/>
          <w:numId w:val="1007"/>
        </w:numPr>
      </w:pPr>
      <w:r>
        <w:t xml:space="preserve">what decision was made</w:t>
      </w:r>
    </w:p>
    <w:p>
      <w:pPr>
        <w:pStyle w:val="Compact"/>
        <w:numPr>
          <w:ilvl w:val="0"/>
          <w:numId w:val="1007"/>
        </w:numPr>
      </w:pPr>
      <w:r>
        <w:t xml:space="preserve">why the decision was made</w:t>
      </w:r>
    </w:p>
    <w:p>
      <w:pPr>
        <w:pStyle w:val="Compact"/>
        <w:numPr>
          <w:ilvl w:val="0"/>
          <w:numId w:val="1007"/>
        </w:numPr>
      </w:pPr>
      <w:r>
        <w:t xml:space="preserve">where the case was routed</w:t>
      </w:r>
    </w:p>
    <w:p>
      <w:pPr>
        <w:pStyle w:val="Compact"/>
        <w:numPr>
          <w:ilvl w:val="0"/>
          <w:numId w:val="1007"/>
        </w:numPr>
      </w:pPr>
      <w:r>
        <w:t xml:space="preserve">what system would receive it next</w:t>
      </w:r>
    </w:p>
    <w:p>
      <w:pPr>
        <w:pStyle w:val="FirstParagraph"/>
      </w:pPr>
      <w:r>
        <w:t xml:space="preserve">That is why audit IDs, decision traces, and integration artifacts matter even in</w:t>
      </w:r>
      <w:r>
        <w:t xml:space="preserve"> </w:t>
      </w:r>
      <w:r>
        <w:t xml:space="preserve">an early POC.</w:t>
      </w:r>
    </w:p>
    <w:bookmarkEnd w:id="15"/>
    <w:bookmarkEnd w:id="16"/>
    <w:bookmarkStart w:id="17" w:name="recommended-pilot-package"/>
    <w:p>
      <w:pPr>
        <w:pStyle w:val="Heading2"/>
      </w:pPr>
      <w:r>
        <w:t xml:space="preserve">Recommended pilot package</w:t>
      </w:r>
    </w:p>
    <w:p>
      <w:pPr>
        <w:pStyle w:val="FirstParagraph"/>
      </w:pPr>
      <w:r>
        <w:t xml:space="preserve">For each new customer, prepare:</w:t>
      </w:r>
    </w:p>
    <w:p>
      <w:pPr>
        <w:pStyle w:val="Compact"/>
        <w:numPr>
          <w:ilvl w:val="0"/>
          <w:numId w:val="1008"/>
        </w:numPr>
      </w:pPr>
      <w:r>
        <w:t xml:space="preserve">a customer-specific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profile</w:t>
      </w:r>
    </w:p>
    <w:p>
      <w:pPr>
        <w:pStyle w:val="Compact"/>
        <w:numPr>
          <w:ilvl w:val="0"/>
          <w:numId w:val="1008"/>
        </w:numPr>
      </w:pPr>
      <w:r>
        <w:t xml:space="preserve">3 to 5 realistic sample documents</w:t>
      </w:r>
    </w:p>
    <w:p>
      <w:pPr>
        <w:pStyle w:val="Compact"/>
        <w:numPr>
          <w:ilvl w:val="0"/>
          <w:numId w:val="1008"/>
        </w:numPr>
      </w:pPr>
      <w:r>
        <w:t xml:space="preserve">one finance demo flow and one exception flow</w:t>
      </w:r>
    </w:p>
    <w:p>
      <w:pPr>
        <w:pStyle w:val="Compact"/>
        <w:numPr>
          <w:ilvl w:val="0"/>
          <w:numId w:val="1008"/>
        </w:numPr>
      </w:pPr>
      <w:r>
        <w:t xml:space="preserve">one healthcare standard flow and one escalation flow</w:t>
      </w:r>
    </w:p>
    <w:p>
      <w:pPr>
        <w:pStyle w:val="Compact"/>
        <w:numPr>
          <w:ilvl w:val="0"/>
          <w:numId w:val="1008"/>
        </w:numPr>
      </w:pPr>
      <w:r>
        <w:t xml:space="preserve">a screenshot or live walkthrough of audit events</w:t>
      </w:r>
    </w:p>
    <w:p>
      <w:pPr>
        <w:pStyle w:val="Compact"/>
        <w:numPr>
          <w:ilvl w:val="0"/>
          <w:numId w:val="1008"/>
        </w:numPr>
      </w:pPr>
      <w:r>
        <w:t xml:space="preserve">a short integration roadmap showing mock-to-live progression</w:t>
      </w:r>
    </w:p>
    <w:bookmarkEnd w:id="17"/>
    <w:bookmarkStart w:id="21" w:name="technical-expansion-paths"/>
    <w:p>
      <w:pPr>
        <w:pStyle w:val="Heading2"/>
      </w:pPr>
      <w:r>
        <w:t xml:space="preserve">Technical expansion paths</w:t>
      </w:r>
    </w:p>
    <w:bookmarkStart w:id="18" w:name="finance--oracle-erp"/>
    <w:p>
      <w:pPr>
        <w:pStyle w:val="Heading3"/>
      </w:pPr>
      <w:r>
        <w:t xml:space="preserve">Finance / Oracle ERP</w:t>
      </w:r>
    </w:p>
    <w:p>
      <w:pPr>
        <w:pStyle w:val="Compact"/>
        <w:numPr>
          <w:ilvl w:val="0"/>
          <w:numId w:val="1009"/>
        </w:numPr>
      </w:pPr>
      <w:r>
        <w:t xml:space="preserve">supplier master lookup</w:t>
      </w:r>
    </w:p>
    <w:p>
      <w:pPr>
        <w:pStyle w:val="Compact"/>
        <w:numPr>
          <w:ilvl w:val="0"/>
          <w:numId w:val="1009"/>
        </w:numPr>
      </w:pPr>
      <w:r>
        <w:t xml:space="preserve">purchase order and receipt matching</w:t>
      </w:r>
    </w:p>
    <w:p>
      <w:pPr>
        <w:pStyle w:val="Compact"/>
        <w:numPr>
          <w:ilvl w:val="0"/>
          <w:numId w:val="1009"/>
        </w:numPr>
      </w:pPr>
      <w:r>
        <w:t xml:space="preserve">invoice hold reasons</w:t>
      </w:r>
    </w:p>
    <w:p>
      <w:pPr>
        <w:pStyle w:val="Compact"/>
        <w:numPr>
          <w:ilvl w:val="0"/>
          <w:numId w:val="1009"/>
        </w:numPr>
      </w:pPr>
      <w:r>
        <w:t xml:space="preserve">AP import batch creation</w:t>
      </w:r>
    </w:p>
    <w:p>
      <w:pPr>
        <w:pStyle w:val="Compact"/>
        <w:numPr>
          <w:ilvl w:val="0"/>
          <w:numId w:val="1009"/>
        </w:numPr>
      </w:pPr>
      <w:r>
        <w:t xml:space="preserve">anomaly detection over historical invoice patterns</w:t>
      </w:r>
    </w:p>
    <w:bookmarkEnd w:id="18"/>
    <w:bookmarkStart w:id="19" w:name="healthcare--oracle-health"/>
    <w:p>
      <w:pPr>
        <w:pStyle w:val="Heading3"/>
      </w:pPr>
      <w:r>
        <w:t xml:space="preserve">Healthcare / Oracle Health</w:t>
      </w:r>
    </w:p>
    <w:p>
      <w:pPr>
        <w:pStyle w:val="Compact"/>
        <w:numPr>
          <w:ilvl w:val="0"/>
          <w:numId w:val="1010"/>
        </w:numPr>
      </w:pPr>
      <w:r>
        <w:t xml:space="preserve">eligibility and benefits lookup</w:t>
      </w:r>
    </w:p>
    <w:p>
      <w:pPr>
        <w:pStyle w:val="Compact"/>
        <w:numPr>
          <w:ilvl w:val="0"/>
          <w:numId w:val="1010"/>
        </w:numPr>
      </w:pPr>
      <w:r>
        <w:t xml:space="preserve">FHIR resource adapters</w:t>
      </w:r>
    </w:p>
    <w:p>
      <w:pPr>
        <w:pStyle w:val="Compact"/>
        <w:numPr>
          <w:ilvl w:val="0"/>
          <w:numId w:val="1010"/>
        </w:numPr>
      </w:pPr>
      <w:r>
        <w:t xml:space="preserve">authorization status tracking</w:t>
      </w:r>
    </w:p>
    <w:p>
      <w:pPr>
        <w:pStyle w:val="Compact"/>
        <w:numPr>
          <w:ilvl w:val="0"/>
          <w:numId w:val="1010"/>
        </w:numPr>
      </w:pPr>
      <w:r>
        <w:t xml:space="preserve">clinician review queues</w:t>
      </w:r>
    </w:p>
    <w:p>
      <w:pPr>
        <w:pStyle w:val="Compact"/>
        <w:numPr>
          <w:ilvl w:val="0"/>
          <w:numId w:val="1010"/>
        </w:numPr>
      </w:pPr>
      <w:r>
        <w:t xml:space="preserve">payer-specific medical necessity rules</w:t>
      </w:r>
    </w:p>
    <w:bookmarkEnd w:id="19"/>
    <w:bookmarkStart w:id="20" w:name="shared-platform"/>
    <w:p>
      <w:pPr>
        <w:pStyle w:val="Heading3"/>
      </w:pPr>
      <w:r>
        <w:t xml:space="preserve">Shared platform</w:t>
      </w:r>
    </w:p>
    <w:p>
      <w:pPr>
        <w:pStyle w:val="Compact"/>
        <w:numPr>
          <w:ilvl w:val="0"/>
          <w:numId w:val="1011"/>
        </w:numPr>
      </w:pPr>
      <w:r>
        <w:t xml:space="preserve">authentication and RBAC</w:t>
      </w:r>
    </w:p>
    <w:p>
      <w:pPr>
        <w:pStyle w:val="Compact"/>
        <w:numPr>
          <w:ilvl w:val="0"/>
          <w:numId w:val="1011"/>
        </w:numPr>
      </w:pPr>
      <w:r>
        <w:t xml:space="preserve">case persistence</w:t>
      </w:r>
    </w:p>
    <w:p>
      <w:pPr>
        <w:pStyle w:val="Compact"/>
        <w:numPr>
          <w:ilvl w:val="0"/>
          <w:numId w:val="1011"/>
        </w:numPr>
      </w:pPr>
      <w:r>
        <w:t xml:space="preserve">document ingestion</w:t>
      </w:r>
    </w:p>
    <w:p>
      <w:pPr>
        <w:pStyle w:val="Compact"/>
        <w:numPr>
          <w:ilvl w:val="0"/>
          <w:numId w:val="1011"/>
        </w:numPr>
      </w:pPr>
      <w:r>
        <w:t xml:space="preserve">vector retrieval</w:t>
      </w:r>
    </w:p>
    <w:p>
      <w:pPr>
        <w:pStyle w:val="Compact"/>
        <w:numPr>
          <w:ilvl w:val="0"/>
          <w:numId w:val="1011"/>
        </w:numPr>
      </w:pPr>
      <w:r>
        <w:t xml:space="preserve">observability dashboards</w:t>
      </w:r>
    </w:p>
    <w:p>
      <w:pPr>
        <w:pStyle w:val="Compact"/>
        <w:numPr>
          <w:ilvl w:val="0"/>
          <w:numId w:val="1011"/>
        </w:numPr>
      </w:pPr>
      <w:r>
        <w:t xml:space="preserve">tenant isolation</w:t>
      </w:r>
    </w:p>
    <w:bookmarkEnd w:id="20"/>
    <w:bookmarkEnd w:id="21"/>
    <w:bookmarkStart w:id="22" w:name="delivery-checklist"/>
    <w:p>
      <w:pPr>
        <w:pStyle w:val="Heading2"/>
      </w:pPr>
      <w:r>
        <w:t xml:space="preserve">Delivery checklist</w:t>
      </w:r>
    </w:p>
    <w:p>
      <w:pPr>
        <w:pStyle w:val="FirstParagraph"/>
      </w:pPr>
      <w:r>
        <w:t xml:space="preserve">Before each customer meeting, verify:</w:t>
      </w:r>
    </w:p>
    <w:p>
      <w:pPr>
        <w:pStyle w:val="Compact"/>
        <w:numPr>
          <w:ilvl w:val="0"/>
          <w:numId w:val="1012"/>
        </w:numPr>
      </w:pPr>
      <w:r>
        <w:t xml:space="preserve">frontend loads on</w:t>
      </w:r>
      <w:r>
        <w:t xml:space="preserve"> </w:t>
      </w:r>
      <w:r>
        <w:rPr>
          <w:rStyle w:val="VerbatimChar"/>
        </w:rPr>
        <w:t xml:space="preserve">5401</w:t>
      </w:r>
    </w:p>
    <w:p>
      <w:pPr>
        <w:pStyle w:val="Compact"/>
        <w:numPr>
          <w:ilvl w:val="0"/>
          <w:numId w:val="1012"/>
        </w:numPr>
      </w:pPr>
      <w:r>
        <w:t xml:space="preserve">backend docs load on</w:t>
      </w:r>
      <w:r>
        <w:t xml:space="preserve"> </w:t>
      </w:r>
      <w:r>
        <w:rPr>
          <w:rStyle w:val="VerbatimChar"/>
        </w:rPr>
        <w:t xml:space="preserve">5405/docs</w:t>
      </w:r>
    </w:p>
    <w:p>
      <w:pPr>
        <w:pStyle w:val="Compact"/>
        <w:numPr>
          <w:ilvl w:val="0"/>
          <w:numId w:val="1012"/>
        </w:numPr>
      </w:pPr>
      <w:r>
        <w:t xml:space="preserve">both workflows run successfully</w:t>
      </w:r>
    </w:p>
    <w:p>
      <w:pPr>
        <w:pStyle w:val="Compact"/>
        <w:numPr>
          <w:ilvl w:val="0"/>
          <w:numId w:val="1012"/>
        </w:numPr>
      </w:pPr>
      <w:r>
        <w:t xml:space="preserve">audit events are created</w:t>
      </w:r>
    </w:p>
    <w:p>
      <w:pPr>
        <w:pStyle w:val="Compact"/>
        <w:numPr>
          <w:ilvl w:val="0"/>
          <w:numId w:val="1012"/>
        </w:numPr>
      </w:pPr>
      <w:r>
        <w:t xml:space="preserve">decision trace is visible</w:t>
      </w:r>
    </w:p>
    <w:p>
      <w:pPr>
        <w:pStyle w:val="Compact"/>
        <w:numPr>
          <w:ilvl w:val="0"/>
          <w:numId w:val="1012"/>
        </w:numPr>
      </w:pPr>
      <w:r>
        <w:t xml:space="preserve">mocked Oracle handoff artifacts are visible</w:t>
      </w:r>
    </w:p>
    <w:p>
      <w:pPr>
        <w:pStyle w:val="Compact"/>
        <w:numPr>
          <w:ilvl w:val="0"/>
          <w:numId w:val="1012"/>
        </w:numPr>
      </w:pPr>
      <w:r>
        <w:t xml:space="preserve">one customer-specific scenario is prepared</w:t>
      </w:r>
    </w:p>
    <w:p>
      <w:pPr>
        <w:pStyle w:val="Compact"/>
        <w:numPr>
          <w:ilvl w:val="0"/>
          <w:numId w:val="1012"/>
        </w:numPr>
      </w:pPr>
      <w:r>
        <w:t xml:space="preserve">next-step architecture is documented</w:t>
      </w:r>
    </w:p>
    <w:bookmarkEnd w:id="22"/>
    <w:bookmarkStart w:id="23" w:name="commercial-advice"/>
    <w:p>
      <w:pPr>
        <w:pStyle w:val="Heading2"/>
      </w:pPr>
      <w:r>
        <w:t xml:space="preserve">Commercial advice</w:t>
      </w:r>
    </w:p>
    <w:p>
      <w:pPr>
        <w:pStyle w:val="FirstParagraph"/>
      </w:pPr>
      <w:r>
        <w:t xml:space="preserve">The best next deal usually comes from showing a short path from:</w:t>
      </w:r>
    </w:p>
    <w:p>
      <w:pPr>
        <w:pStyle w:val="Compact"/>
        <w:numPr>
          <w:ilvl w:val="0"/>
          <w:numId w:val="1013"/>
        </w:numPr>
      </w:pPr>
      <w:r>
        <w:t xml:space="preserve">mocked but believable workflow</w:t>
      </w:r>
    </w:p>
    <w:p>
      <w:pPr>
        <w:pStyle w:val="Compact"/>
        <w:numPr>
          <w:ilvl w:val="0"/>
          <w:numId w:val="1013"/>
        </w:numPr>
      </w:pPr>
      <w:r>
        <w:t xml:space="preserve">to low-risk integration</w:t>
      </w:r>
    </w:p>
    <w:p>
      <w:pPr>
        <w:pStyle w:val="Compact"/>
        <w:numPr>
          <w:ilvl w:val="0"/>
          <w:numId w:val="1013"/>
        </w:numPr>
      </w:pPr>
      <w:r>
        <w:t xml:space="preserve">to measurable business value</w:t>
      </w:r>
    </w:p>
    <w:p>
      <w:pPr>
        <w:pStyle w:val="FirstParagraph"/>
      </w:pPr>
      <w:r>
        <w:t xml:space="preserve">Do not lead with platform abstraction. Lead with one costly workflow, one clear</w:t>
      </w:r>
      <w:r>
        <w:t xml:space="preserve"> </w:t>
      </w:r>
      <w:r>
        <w:t xml:space="preserve">decision path, and one credible integration plan.</w:t>
      </w:r>
    </w:p>
    <w:bookmarkEnd w:id="23"/>
    <w:bookmarkStart w:id="26" w:name="X02cf0ddf015b56d4f4a71fee98606bef452e5de"/>
    <w:p>
      <w:pPr>
        <w:pStyle w:val="Heading2"/>
      </w:pPr>
      <w:r>
        <w:t xml:space="preserve">Reusable accelerators already available locally</w:t>
      </w:r>
    </w:p>
    <w:p>
      <w:pPr>
        <w:pStyle w:val="FirstParagraph"/>
      </w:pPr>
      <w:r>
        <w:t xml:space="preserve">The review of</w:t>
      </w:r>
      <w:r>
        <w:t xml:space="preserve"> </w:t>
      </w:r>
      <w:r>
        <w:rPr>
          <w:rStyle w:val="VerbatimChar"/>
        </w:rPr>
        <w:t xml:space="preserve">/Users/josekurian/AIAgents</w:t>
      </w:r>
      <w:r>
        <w:t xml:space="preserve"> </w:t>
      </w:r>
      <w:r>
        <w:t xml:space="preserve">changes the practical delivery plan.</w:t>
      </w:r>
      <w:r>
        <w:t xml:space="preserve"> </w:t>
      </w:r>
      <w:r>
        <w:t xml:space="preserve">You already own far more reusable capability than this starter alone exposes.</w:t>
      </w:r>
    </w:p>
    <w:bookmarkStart w:id="24" w:name="best-assets-to-reuse-immediately"/>
    <w:p>
      <w:pPr>
        <w:pStyle w:val="Heading3"/>
      </w:pPr>
      <w:r>
        <w:t xml:space="preserve">Best assets to reuse immediately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MCPPlatform</w:t>
      </w:r>
      <w:r>
        <w:t xml:space="preserve"> </w:t>
      </w:r>
      <w:r>
        <w:t xml:space="preserve">for approved MCP server overlays and shared runtime policy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MCPEngine</w:t>
      </w:r>
      <w:r>
        <w:t xml:space="preserve"> </w:t>
      </w:r>
      <w:r>
        <w:t xml:space="preserve">for audit, approvals, replay protection, and governance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EnterpriseAgents</w:t>
      </w:r>
      <w:r>
        <w:t xml:space="preserve"> </w:t>
      </w:r>
      <w:r>
        <w:t xml:space="preserve">for broader packaged agent and workflow definitions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OracleFinancialsFrontierFullImplementation</w:t>
      </w:r>
      <w:r>
        <w:t xml:space="preserve"> </w:t>
      </w:r>
      <w:r>
        <w:t xml:space="preserve">for finance-oriented agent teams,</w:t>
      </w:r>
      <w:r>
        <w:t xml:space="preserve"> </w:t>
      </w:r>
      <w:r>
        <w:t xml:space="preserve">workflow specs, typed tool contracts, and scorecard patterns</w:t>
      </w:r>
    </w:p>
    <w:p>
      <w:pPr>
        <w:pStyle w:val="Compact"/>
        <w:numPr>
          <w:ilvl w:val="0"/>
          <w:numId w:val="1014"/>
        </w:numPr>
      </w:pPr>
      <w:r>
        <w:t xml:space="preserve">Oracle Health extension catalogs for expanding the current prior-auth POC into</w:t>
      </w:r>
      <w:r>
        <w:t xml:space="preserve"> </w:t>
      </w:r>
      <w:r>
        <w:t xml:space="preserve">a more credible payer/provider operations package</w:t>
      </w:r>
    </w:p>
    <w:bookmarkEnd w:id="24"/>
    <w:bookmarkStart w:id="25" w:name="customer-poc-packaging-strategy"/>
    <w:p>
      <w:pPr>
        <w:pStyle w:val="Heading3"/>
      </w:pPr>
      <w:r>
        <w:t xml:space="preserve">Customer POC packaging strategy</w:t>
      </w:r>
    </w:p>
    <w:p>
      <w:pPr>
        <w:pStyle w:val="FirstParagraph"/>
      </w:pPr>
      <w:r>
        <w:t xml:space="preserve">For a new customer POC, build the proposal around three layers:</w:t>
      </w:r>
    </w:p>
    <w:p>
      <w:pPr>
        <w:pStyle w:val="Compact"/>
        <w:numPr>
          <w:ilvl w:val="0"/>
          <w:numId w:val="1015"/>
        </w:numPr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HybridAIAutomation</w:t>
      </w:r>
      <w:r>
        <w:t xml:space="preserve"> </w:t>
      </w:r>
      <w:r>
        <w:t xml:space="preserve">UI and lightweight API shell</w:t>
      </w:r>
    </w:p>
    <w:p>
      <w:pPr>
        <w:pStyle w:val="Compact"/>
        <w:numPr>
          <w:ilvl w:val="0"/>
          <w:numId w:val="1015"/>
        </w:numPr>
      </w:pPr>
      <w:r>
        <w:t xml:space="preserve">imported workflow and agent patterns from the local Oracle finance or health</w:t>
      </w:r>
      <w:r>
        <w:t xml:space="preserve"> </w:t>
      </w:r>
      <w:r>
        <w:t xml:space="preserve">catalogs</w:t>
      </w:r>
    </w:p>
    <w:p>
      <w:pPr>
        <w:pStyle w:val="Compact"/>
        <w:numPr>
          <w:ilvl w:val="0"/>
          <w:numId w:val="1015"/>
        </w:numPr>
      </w:pPr>
      <w:r>
        <w:t xml:space="preserve">shared MCP and governance services from</w:t>
      </w:r>
      <w:r>
        <w:t xml:space="preserve"> </w:t>
      </w:r>
      <w:r>
        <w:rPr>
          <w:rStyle w:val="VerbatimChar"/>
        </w:rPr>
        <w:t xml:space="preserve">MCPPlatform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MCPEngine</w:t>
      </w:r>
    </w:p>
    <w:p>
      <w:pPr>
        <w:pStyle w:val="FirstParagraph"/>
      </w:pPr>
      <w:r>
        <w:t xml:space="preserve">That gives you a faster route to:</w:t>
      </w:r>
    </w:p>
    <w:p>
      <w:pPr>
        <w:pStyle w:val="Compact"/>
        <w:numPr>
          <w:ilvl w:val="0"/>
          <w:numId w:val="1016"/>
        </w:numPr>
      </w:pPr>
      <w:r>
        <w:t xml:space="preserve">domain credibility</w:t>
      </w:r>
    </w:p>
    <w:p>
      <w:pPr>
        <w:pStyle w:val="Compact"/>
        <w:numPr>
          <w:ilvl w:val="0"/>
          <w:numId w:val="1016"/>
        </w:numPr>
      </w:pPr>
      <w:r>
        <w:t xml:space="preserve">stronger auditability</w:t>
      </w:r>
    </w:p>
    <w:p>
      <w:pPr>
        <w:pStyle w:val="Compact"/>
        <w:numPr>
          <w:ilvl w:val="0"/>
          <w:numId w:val="1016"/>
        </w:numPr>
      </w:pPr>
      <w:r>
        <w:t xml:space="preserve">safer tool access</w:t>
      </w:r>
    </w:p>
    <w:p>
      <w:pPr>
        <w:pStyle w:val="Compact"/>
        <w:numPr>
          <w:ilvl w:val="0"/>
          <w:numId w:val="1016"/>
        </w:numPr>
      </w:pPr>
      <w:r>
        <w:t xml:space="preserve">a better production migration story</w:t>
      </w:r>
    </w:p>
    <w:bookmarkEnd w:id="25"/>
    <w:bookmarkEnd w:id="26"/>
    <w:bookmarkStart w:id="29" w:name="Xe19ad3142aba37c27b1aa857b18e84c98281b2b"/>
    <w:p>
      <w:pPr>
        <w:pStyle w:val="Heading2"/>
      </w:pPr>
      <w:r>
        <w:t xml:space="preserve">Platform changes that improve POC sellability</w:t>
      </w:r>
    </w:p>
    <w:bookmarkStart w:id="27" w:name="openai-implications-as-of-2026-04-29"/>
    <w:p>
      <w:pPr>
        <w:pStyle w:val="Heading3"/>
      </w:pPr>
      <w:r>
        <w:t xml:space="preserve">OpenAI implications as of 2026-04-29</w:t>
      </w:r>
    </w:p>
    <w:p>
      <w:pPr>
        <w:pStyle w:val="Compact"/>
        <w:numPr>
          <w:ilvl w:val="0"/>
          <w:numId w:val="1017"/>
        </w:numPr>
      </w:pPr>
      <w:r>
        <w:t xml:space="preserve">Remote MCP servers and connectors are now a documented first-class Responses</w:t>
      </w:r>
      <w:r>
        <w:t xml:space="preserve"> </w:t>
      </w:r>
      <w:r>
        <w:t xml:space="preserve">API pattern, which makes your MCP-based reuse strategy commercially cleaner.</w:t>
      </w:r>
    </w:p>
    <w:p>
      <w:pPr>
        <w:pStyle w:val="Compact"/>
        <w:numPr>
          <w:ilvl w:val="0"/>
          <w:numId w:val="1017"/>
        </w:numPr>
      </w:pPr>
      <w:r>
        <w:t xml:space="preserve">The April 2026 OpenAI changelog introduces GPT-5.5 and GPT-5.5 pro in the</w:t>
      </w:r>
      <w:r>
        <w:t xml:space="preserve"> </w:t>
      </w:r>
      <w:r>
        <w:t xml:space="preserve">Responses API, with support for MCP, tool search, web search, hosted shell,</w:t>
      </w:r>
      <w:r>
        <w:t xml:space="preserve"> </w:t>
      </w:r>
      <w:r>
        <w:t xml:space="preserve">and structured outputs.</w:t>
      </w:r>
    </w:p>
    <w:p>
      <w:pPr>
        <w:pStyle w:val="Compact"/>
        <w:numPr>
          <w:ilvl w:val="0"/>
          <w:numId w:val="1017"/>
        </w:numPr>
      </w:pPr>
      <w:r>
        <w:t xml:space="preserve">Deep research models now support web search, remote MCP servers, and file</w:t>
      </w:r>
      <w:r>
        <w:t xml:space="preserve"> </w:t>
      </w:r>
      <w:r>
        <w:t xml:space="preserve">search over vector stores, which opens a stronger analyst-assistant motion for</w:t>
      </w:r>
      <w:r>
        <w:t xml:space="preserve"> </w:t>
      </w:r>
      <w:r>
        <w:t xml:space="preserve">customer discovery, audit investigation, and policy analysis.</w:t>
      </w:r>
    </w:p>
    <w:bookmarkEnd w:id="27"/>
    <w:bookmarkStart w:id="28" w:name="oracle-implications-as-of-2026-04-29"/>
    <w:p>
      <w:pPr>
        <w:pStyle w:val="Heading3"/>
      </w:pPr>
      <w:r>
        <w:t xml:space="preserve">Oracle implications as of 2026-04-29</w:t>
      </w:r>
    </w:p>
    <w:p>
      <w:pPr>
        <w:pStyle w:val="Compact"/>
        <w:numPr>
          <w:ilvl w:val="0"/>
          <w:numId w:val="1018"/>
        </w:numPr>
      </w:pPr>
      <w:r>
        <w:t xml:space="preserve">Oracle expanded AI Agent Studio on March 24, 2026 with an Agentic</w:t>
      </w:r>
      <w:r>
        <w:t xml:space="preserve"> </w:t>
      </w:r>
      <w:r>
        <w:t xml:space="preserve">Applications Builder plus workflow orchestration, contextual memory, content</w:t>
      </w:r>
      <w:r>
        <w:t xml:space="preserve"> </w:t>
      </w:r>
      <w:r>
        <w:t xml:space="preserve">intelligence, and ROI measurement.</w:t>
      </w:r>
    </w:p>
    <w:p>
      <w:pPr>
        <w:pStyle w:val="Compact"/>
        <w:numPr>
          <w:ilvl w:val="0"/>
          <w:numId w:val="1018"/>
        </w:numPr>
      </w:pPr>
      <w:r>
        <w:t xml:space="preserve">Oracle introduced Fusion Agentic Applications for finance, supply chain, and</w:t>
      </w:r>
      <w:r>
        <w:t xml:space="preserve"> </w:t>
      </w:r>
      <w:r>
        <w:t xml:space="preserve">HR on April 9, 2026. That matters because buyers are now hearing a stronger</w:t>
      </w:r>
      <w:r>
        <w:t xml:space="preserve"> </w:t>
      </w:r>
      <w:r>
        <w:t xml:space="preserve">"agentic applications" message, not just isolated AI agents.</w:t>
      </w:r>
    </w:p>
    <w:p>
      <w:pPr>
        <w:pStyle w:val="Compact"/>
        <w:numPr>
          <w:ilvl w:val="0"/>
          <w:numId w:val="1018"/>
        </w:numPr>
      </w:pPr>
      <w:r>
        <w:t xml:space="preserve">OCI Enterprise AI reached GA on March 31, 2026 with an OpenAI-compatible</w:t>
      </w:r>
      <w:r>
        <w:t xml:space="preserve"> </w:t>
      </w:r>
      <w:r>
        <w:t xml:space="preserve">Responses API, remote MCP calling, file search, vector stores, and containers,</w:t>
      </w:r>
      <w:r>
        <w:t xml:space="preserve"> </w:t>
      </w:r>
      <w:r>
        <w:t xml:space="preserve">which improves the OCI-first deployment path for this repo.</w:t>
      </w:r>
    </w:p>
    <w:bookmarkEnd w:id="28"/>
    <w:bookmarkEnd w:id="29"/>
    <w:bookmarkStart w:id="33" w:name="X2a91451c118ae03245b6256ba3791abb2a6759c"/>
    <w:p>
      <w:pPr>
        <w:pStyle w:val="Heading2"/>
      </w:pPr>
      <w:r>
        <w:t xml:space="preserve">Expansion plays for new customer projects</w:t>
      </w:r>
    </w:p>
    <w:bookmarkStart w:id="30" w:name="finance"/>
    <w:p>
      <w:pPr>
        <w:pStyle w:val="Heading3"/>
      </w:pPr>
      <w:r>
        <w:t xml:space="preserve">Finance</w:t>
      </w:r>
    </w:p>
    <w:p>
      <w:pPr>
        <w:pStyle w:val="Compact"/>
        <w:numPr>
          <w:ilvl w:val="0"/>
          <w:numId w:val="1019"/>
        </w:numPr>
      </w:pPr>
      <w:r>
        <w:t xml:space="preserve">AP invoice intake and duplicate detection</w:t>
      </w:r>
    </w:p>
    <w:p>
      <w:pPr>
        <w:pStyle w:val="Compact"/>
        <w:numPr>
          <w:ilvl w:val="0"/>
          <w:numId w:val="1019"/>
        </w:numPr>
      </w:pPr>
      <w:r>
        <w:t xml:space="preserve">payment hold resolution</w:t>
      </w:r>
    </w:p>
    <w:p>
      <w:pPr>
        <w:pStyle w:val="Compact"/>
        <w:numPr>
          <w:ilvl w:val="0"/>
          <w:numId w:val="1019"/>
        </w:numPr>
      </w:pPr>
      <w:r>
        <w:t xml:space="preserve">supplier exception handling</w:t>
      </w:r>
    </w:p>
    <w:p>
      <w:pPr>
        <w:pStyle w:val="Compact"/>
        <w:numPr>
          <w:ilvl w:val="0"/>
          <w:numId w:val="1019"/>
        </w:numPr>
      </w:pPr>
      <w:r>
        <w:t xml:space="preserve">invoice-to-payment status tracking</w:t>
      </w:r>
    </w:p>
    <w:p>
      <w:pPr>
        <w:pStyle w:val="Compact"/>
        <w:numPr>
          <w:ilvl w:val="0"/>
          <w:numId w:val="1019"/>
        </w:numPr>
      </w:pPr>
      <w:r>
        <w:t xml:space="preserve">close and controls evidence packs</w:t>
      </w:r>
    </w:p>
    <w:bookmarkEnd w:id="30"/>
    <w:bookmarkStart w:id="31" w:name="healthcare"/>
    <w:p>
      <w:pPr>
        <w:pStyle w:val="Heading3"/>
      </w:pPr>
      <w:r>
        <w:t xml:space="preserve">Healthcare</w:t>
      </w:r>
    </w:p>
    <w:p>
      <w:pPr>
        <w:pStyle w:val="Compact"/>
        <w:numPr>
          <w:ilvl w:val="0"/>
          <w:numId w:val="1020"/>
        </w:numPr>
      </w:pPr>
      <w:r>
        <w:t xml:space="preserve">prior authorization</w:t>
      </w:r>
    </w:p>
    <w:p>
      <w:pPr>
        <w:pStyle w:val="Compact"/>
        <w:numPr>
          <w:ilvl w:val="0"/>
          <w:numId w:val="1020"/>
        </w:numPr>
      </w:pPr>
      <w:r>
        <w:t xml:space="preserve">denial recovery</w:t>
      </w:r>
    </w:p>
    <w:p>
      <w:pPr>
        <w:pStyle w:val="Compact"/>
        <w:numPr>
          <w:ilvl w:val="0"/>
          <w:numId w:val="1020"/>
        </w:numPr>
      </w:pPr>
      <w:r>
        <w:t xml:space="preserve">referral closure</w:t>
      </w:r>
    </w:p>
    <w:p>
      <w:pPr>
        <w:pStyle w:val="Compact"/>
        <w:numPr>
          <w:ilvl w:val="0"/>
          <w:numId w:val="1020"/>
        </w:numPr>
      </w:pPr>
      <w:r>
        <w:t xml:space="preserve">patient intake to encounter</w:t>
      </w:r>
    </w:p>
    <w:p>
      <w:pPr>
        <w:pStyle w:val="Compact"/>
        <w:numPr>
          <w:ilvl w:val="0"/>
          <w:numId w:val="1020"/>
        </w:numPr>
      </w:pPr>
      <w:r>
        <w:t xml:space="preserve">revenue-cycle daily close</w:t>
      </w:r>
    </w:p>
    <w:bookmarkEnd w:id="31"/>
    <w:bookmarkStart w:id="32" w:name="shared-enterprise-platform"/>
    <w:p>
      <w:pPr>
        <w:pStyle w:val="Heading3"/>
      </w:pPr>
      <w:r>
        <w:t xml:space="preserve">Shared enterprise platform</w:t>
      </w:r>
    </w:p>
    <w:p>
      <w:pPr>
        <w:pStyle w:val="Compact"/>
        <w:numPr>
          <w:ilvl w:val="0"/>
          <w:numId w:val="1021"/>
        </w:numPr>
      </w:pPr>
      <w:r>
        <w:t xml:space="preserve">MCP-backed retrieval and action tools</w:t>
      </w:r>
    </w:p>
    <w:p>
      <w:pPr>
        <w:pStyle w:val="Compact"/>
        <w:numPr>
          <w:ilvl w:val="0"/>
          <w:numId w:val="1021"/>
        </w:numPr>
      </w:pPr>
      <w:r>
        <w:t xml:space="preserve">customer-specific approval policies</w:t>
      </w:r>
    </w:p>
    <w:p>
      <w:pPr>
        <w:pStyle w:val="Compact"/>
        <w:numPr>
          <w:ilvl w:val="0"/>
          <w:numId w:val="1021"/>
        </w:numPr>
      </w:pPr>
      <w:r>
        <w:t xml:space="preserve">trace scorecards and audit dashboards</w:t>
      </w:r>
    </w:p>
    <w:p>
      <w:pPr>
        <w:pStyle w:val="Compact"/>
        <w:numPr>
          <w:ilvl w:val="0"/>
          <w:numId w:val="1021"/>
        </w:numPr>
      </w:pPr>
      <w:r>
        <w:t xml:space="preserve">reusable agent team templates</w:t>
      </w:r>
    </w:p>
    <w:p>
      <w:pPr>
        <w:pStyle w:val="Compact"/>
        <w:numPr>
          <w:ilvl w:val="0"/>
          <w:numId w:val="1021"/>
        </w:numPr>
      </w:pPr>
      <w:r>
        <w:t xml:space="preserve">OCI vector search and enterprise knowledge retrieval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Poc Playbook</dc:title>
  <dc:creator/>
  <cp:keywords/>
  <dcterms:created xsi:type="dcterms:W3CDTF">2026-04-29T22:55:58Z</dcterms:created>
  <dcterms:modified xsi:type="dcterms:W3CDTF">2026-04-29T22:55:58Z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