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1 Foundation And Bootstrap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hase-1-foundation-and-bootstrap"/>
    <w:p>
      <w:pPr>
        <w:pStyle w:val="Heading1"/>
      </w:pPr>
      <w:r>
        <w:t xml:space="preserve">Phase 1: Foundation and Bootstrap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Establish a reproducible local project that can be started, extended, and</w:t>
      </w:r>
      <w:r>
        <w:t xml:space="preserve"> </w:t>
      </w:r>
      <w:r>
        <w:t xml:space="preserve">documented without requiring external services on day one.</w:t>
      </w:r>
    </w:p>
    <w:bookmarkEnd w:id="9"/>
    <w:bookmarkStart w:id="10" w:name="primary-artifacts"/>
    <w:p>
      <w:pPr>
        <w:pStyle w:val="Heading2"/>
      </w:pPr>
      <w:r>
        <w:t xml:space="preserve">Primary artifacts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setup.sh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.env.example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docker-compose.yml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infrastructure/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workflows/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</w:t>
      </w:r>
    </w:p>
    <w:bookmarkEnd w:id="10"/>
    <w:bookmarkStart w:id="16" w:name="detailed-steps"/>
    <w:p>
      <w:pPr>
        <w:pStyle w:val="Heading2"/>
      </w:pPr>
      <w:r>
        <w:t xml:space="preserve">Detailed steps</w:t>
      </w:r>
    </w:p>
    <w:bookmarkStart w:id="11" w:name="step-1-create-the-directory-skeleton"/>
    <w:p>
      <w:pPr>
        <w:pStyle w:val="Heading3"/>
      </w:pPr>
      <w:r>
        <w:t xml:space="preserve">Step 1: Create the directory skeleton</w:t>
      </w:r>
    </w:p>
    <w:p>
      <w:pPr>
        <w:pStyle w:val="FirstParagraph"/>
      </w:pPr>
      <w:r>
        <w:t xml:space="preserve">The bootstrap layer creates the major functional areas:</w:t>
      </w:r>
    </w:p>
    <w:p>
      <w:pPr>
        <w:pStyle w:val="Compact"/>
        <w:numPr>
          <w:ilvl w:val="0"/>
          <w:numId w:val="1002"/>
        </w:numPr>
      </w:pPr>
      <w:r>
        <w:t xml:space="preserve">backend API and orchestration code</w:t>
      </w:r>
    </w:p>
    <w:p>
      <w:pPr>
        <w:pStyle w:val="Compact"/>
        <w:numPr>
          <w:ilvl w:val="0"/>
          <w:numId w:val="1002"/>
        </w:numPr>
      </w:pPr>
      <w:r>
        <w:t xml:space="preserve">frontend operator console</w:t>
      </w:r>
    </w:p>
    <w:p>
      <w:pPr>
        <w:pStyle w:val="Compact"/>
        <w:numPr>
          <w:ilvl w:val="0"/>
          <w:numId w:val="1002"/>
        </w:numPr>
      </w:pPr>
      <w:r>
        <w:t xml:space="preserve">infrastructure assets</w:t>
      </w:r>
    </w:p>
    <w:p>
      <w:pPr>
        <w:pStyle w:val="Compact"/>
        <w:numPr>
          <w:ilvl w:val="0"/>
          <w:numId w:val="1002"/>
        </w:numPr>
      </w:pPr>
      <w:r>
        <w:t xml:space="preserve">workflow definitions</w:t>
      </w:r>
    </w:p>
    <w:p>
      <w:pPr>
        <w:pStyle w:val="Compact"/>
        <w:numPr>
          <w:ilvl w:val="0"/>
          <w:numId w:val="1002"/>
        </w:numPr>
      </w:pPr>
      <w:r>
        <w:t xml:space="preserve">tests and helper scripts</w:t>
      </w:r>
    </w:p>
    <w:p>
      <w:pPr>
        <w:pStyle w:val="FirstParagraph"/>
      </w:pPr>
      <w:r>
        <w:t xml:space="preserve">This is handled by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, which is idempotent and safe to rerun because it</w:t>
      </w:r>
      <w:r>
        <w:t xml:space="preserve"> </w:t>
      </w:r>
      <w:r>
        <w:t xml:space="preserve">creates directories and touches files without deleting existing content.</w:t>
      </w:r>
    </w:p>
    <w:bookmarkEnd w:id="11"/>
    <w:bookmarkStart w:id="12" w:name="step-2-define-environment-defaults"/>
    <w:p>
      <w:pPr>
        <w:pStyle w:val="Heading3"/>
      </w:pPr>
      <w:r>
        <w:t xml:space="preserve">Step 2: Define environment defaults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captures the minimum runtime contract:</w:t>
      </w:r>
    </w:p>
    <w:p>
      <w:pPr>
        <w:pStyle w:val="Compact"/>
        <w:numPr>
          <w:ilvl w:val="0"/>
          <w:numId w:val="1003"/>
        </w:numPr>
      </w:pPr>
      <w:r>
        <w:t xml:space="preserve">local application mode</w:t>
      </w:r>
    </w:p>
    <w:p>
      <w:pPr>
        <w:pStyle w:val="Compact"/>
        <w:numPr>
          <w:ilvl w:val="0"/>
          <w:numId w:val="1003"/>
        </w:numPr>
      </w:pPr>
      <w:r>
        <w:t xml:space="preserve">API prefix</w:t>
      </w:r>
    </w:p>
    <w:p>
      <w:pPr>
        <w:pStyle w:val="Compact"/>
        <w:numPr>
          <w:ilvl w:val="0"/>
          <w:numId w:val="1003"/>
        </w:numPr>
      </w:pPr>
      <w:r>
        <w:t xml:space="preserve">default provider selection</w:t>
      </w:r>
    </w:p>
    <w:p>
      <w:pPr>
        <w:pStyle w:val="Compact"/>
        <w:numPr>
          <w:ilvl w:val="0"/>
          <w:numId w:val="1003"/>
        </w:numPr>
      </w:pPr>
      <w:r>
        <w:t xml:space="preserve">optional OpenAI settings</w:t>
      </w:r>
    </w:p>
    <w:p>
      <w:pPr>
        <w:pStyle w:val="Compact"/>
        <w:numPr>
          <w:ilvl w:val="0"/>
          <w:numId w:val="1003"/>
        </w:numPr>
      </w:pPr>
      <w:r>
        <w:t xml:space="preserve">optional OCI settings</w:t>
      </w:r>
    </w:p>
    <w:p>
      <w:pPr>
        <w:pStyle w:val="Compact"/>
        <w:numPr>
          <w:ilvl w:val="0"/>
          <w:numId w:val="1003"/>
        </w:numPr>
      </w:pPr>
      <w:r>
        <w:t xml:space="preserve">frontend API base URL</w:t>
      </w:r>
    </w:p>
    <w:p>
      <w:pPr>
        <w:pStyle w:val="FirstParagraph"/>
      </w:pPr>
      <w:r>
        <w:t xml:space="preserve">This keeps local startup deterministic while preserving extension points.</w:t>
      </w:r>
    </w:p>
    <w:bookmarkEnd w:id="12"/>
    <w:bookmarkStart w:id="13" w:name="X660aa9d2e8891bd2c53684a1baeb8436532051e"/>
    <w:p>
      <w:pPr>
        <w:pStyle w:val="Heading3"/>
      </w:pPr>
      <w:r>
        <w:t xml:space="preserve">Step 3: Establish runnable service boundaries</w:t>
      </w:r>
    </w:p>
    <w:p>
      <w:pPr>
        <w:pStyle w:val="FirstParagraph"/>
      </w:pPr>
      <w:r>
        <w:t xml:space="preserve">The repository separates concerns immediately: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contains the FastAPI service and business logic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contains the React UI and build toolchain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infrastructure/</w:t>
      </w:r>
      <w:r>
        <w:t xml:space="preserve"> </w:t>
      </w:r>
      <w:r>
        <w:t xml:space="preserve">captures future deployment targets rather than mixing them</w:t>
      </w:r>
      <w:r>
        <w:t xml:space="preserve"> </w:t>
      </w:r>
      <w:r>
        <w:t xml:space="preserve">into app code</w:t>
      </w:r>
    </w:p>
    <w:p>
      <w:pPr>
        <w:pStyle w:val="FirstParagraph"/>
      </w:pPr>
      <w:r>
        <w:t xml:space="preserve">This prevents early coupling between runtime code and deployment templates.</w:t>
      </w:r>
    </w:p>
    <w:bookmarkEnd w:id="13"/>
    <w:bookmarkStart w:id="14" w:name="step-4-define-the-local-bring-up-path"/>
    <w:p>
      <w:pPr>
        <w:pStyle w:val="Heading3"/>
      </w:pPr>
      <w:r>
        <w:t xml:space="preserve">Step 4: Define the local bring-up path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provides the first operational baseline:</w:t>
      </w:r>
    </w:p>
    <w:p>
      <w:pPr>
        <w:pStyle w:val="Compact"/>
        <w:numPr>
          <w:ilvl w:val="0"/>
          <w:numId w:val="1005"/>
        </w:numPr>
      </w:pPr>
      <w:r>
        <w:t xml:space="preserve">build the backend image</w:t>
      </w:r>
    </w:p>
    <w:p>
      <w:pPr>
        <w:pStyle w:val="Compact"/>
        <w:numPr>
          <w:ilvl w:val="0"/>
          <w:numId w:val="1005"/>
        </w:numPr>
      </w:pPr>
      <w:r>
        <w:t xml:space="preserve">build the frontend image</w:t>
      </w:r>
    </w:p>
    <w:p>
      <w:pPr>
        <w:pStyle w:val="Compact"/>
        <w:numPr>
          <w:ilvl w:val="0"/>
          <w:numId w:val="1005"/>
        </w:numPr>
      </w:pPr>
      <w:r>
        <w:t xml:space="preserve">expose the backend on</w:t>
      </w:r>
      <w:r>
        <w:t xml:space="preserve"> </w:t>
      </w:r>
      <w:r>
        <w:rPr>
          <w:rStyle w:val="VerbatimChar"/>
        </w:rPr>
        <w:t xml:space="preserve">5405</w:t>
      </w:r>
    </w:p>
    <w:p>
      <w:pPr>
        <w:pStyle w:val="Compact"/>
        <w:numPr>
          <w:ilvl w:val="0"/>
          <w:numId w:val="1005"/>
        </w:numPr>
      </w:pPr>
      <w:r>
        <w:t xml:space="preserve">expose the frontend on</w:t>
      </w:r>
      <w:r>
        <w:t xml:space="preserve"> </w:t>
      </w:r>
      <w:r>
        <w:rPr>
          <w:rStyle w:val="VerbatimChar"/>
        </w:rPr>
        <w:t xml:space="preserve">5401</w:t>
      </w:r>
    </w:p>
    <w:p>
      <w:pPr>
        <w:pStyle w:val="Compact"/>
        <w:numPr>
          <w:ilvl w:val="0"/>
          <w:numId w:val="1005"/>
        </w:numPr>
      </w:pPr>
      <w:r>
        <w:t xml:space="preserve">include a Postgres-compatible database service for future vector and audit expansion</w:t>
      </w:r>
    </w:p>
    <w:p>
      <w:pPr>
        <w:pStyle w:val="FirstParagraph"/>
      </w:pPr>
      <w:r>
        <w:t xml:space="preserve">This makes the starter usable by someone who does not want to install Python and</w:t>
      </w:r>
      <w:r>
        <w:t xml:space="preserve"> </w:t>
      </w:r>
      <w:r>
        <w:t xml:space="preserve">Node toolchains manually.</w:t>
      </w:r>
    </w:p>
    <w:bookmarkEnd w:id="14"/>
    <w:bookmarkStart w:id="15" w:name="X5a1342e3aa5ec175ae1f0dfd2236c9fc2f2fee5"/>
    <w:p>
      <w:pPr>
        <w:pStyle w:val="Heading3"/>
      </w:pPr>
      <w:r>
        <w:t xml:space="preserve">Step 5: Add guardrails for clean repository behavior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excludes: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node_modules</w:t>
      </w:r>
    </w:p>
    <w:p>
      <w:pPr>
        <w:pStyle w:val="Compact"/>
        <w:numPr>
          <w:ilvl w:val="0"/>
          <w:numId w:val="1006"/>
        </w:numPr>
      </w:pPr>
      <w:r>
        <w:t xml:space="preserve">generated build output</w:t>
      </w:r>
    </w:p>
    <w:p>
      <w:pPr>
        <w:pStyle w:val="Compact"/>
        <w:numPr>
          <w:ilvl w:val="0"/>
          <w:numId w:val="1006"/>
        </w:numPr>
      </w:pPr>
      <w:r>
        <w:t xml:space="preserve">Python caches</w:t>
      </w:r>
    </w:p>
    <w:p>
      <w:pPr>
        <w:pStyle w:val="Compact"/>
        <w:numPr>
          <w:ilvl w:val="0"/>
          <w:numId w:val="1006"/>
        </w:numPr>
      </w:pPr>
      <w:r>
        <w:t xml:space="preserve">TypeScript build info</w:t>
      </w:r>
    </w:p>
    <w:bookmarkEnd w:id="15"/>
    <w:bookmarkEnd w:id="16"/>
    <w:bookmarkStart w:id="17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The local portfolio review changes the intended outcome of this phase. The</w:t>
      </w:r>
      <w:r>
        <w:t xml:space="preserve"> </w:t>
      </w:r>
      <w:r>
        <w:t xml:space="preserve">bootstrap should no longer be viewed as only a blank-project creator. It should</w:t>
      </w:r>
      <w:r>
        <w:t xml:space="preserve"> </w:t>
      </w:r>
      <w:r>
        <w:t xml:space="preserve">be viewed as the thin delivery shell that will later consume: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MCPPlatform</w:t>
      </w:r>
      <w:r>
        <w:t xml:space="preserve"> </w:t>
      </w:r>
      <w:r>
        <w:t xml:space="preserve">project overlays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MCPEngine</w:t>
      </w:r>
      <w:r>
        <w:t xml:space="preserve"> </w:t>
      </w:r>
      <w:r>
        <w:t xml:space="preserve">policy and audit controls</w:t>
      </w:r>
    </w:p>
    <w:p>
      <w:pPr>
        <w:pStyle w:val="Compact"/>
        <w:numPr>
          <w:ilvl w:val="0"/>
          <w:numId w:val="1007"/>
        </w:numPr>
      </w:pPr>
      <w:r>
        <w:t xml:space="preserve">Oracle Fusion and Oracle Health workflow catalogs from</w:t>
      </w:r>
      <w:r>
        <w:t xml:space="preserve"> </w:t>
      </w:r>
      <w:r>
        <w:rPr>
          <w:rStyle w:val="VerbatimChar"/>
        </w:rPr>
        <w:t xml:space="preserve">AIAgents</w:t>
      </w:r>
    </w:p>
    <w:p>
      <w:pPr>
        <w:pStyle w:val="FirstParagraph"/>
      </w:pPr>
      <w:r>
        <w:t xml:space="preserve">This matters because the project mixes Python and Node assets and would</w:t>
      </w:r>
      <w:r>
        <w:t xml:space="preserve"> </w:t>
      </w:r>
      <w:r>
        <w:t xml:space="preserve">otherwise accumulate noisy local artifacts quickly.</w:t>
      </w:r>
    </w:p>
    <w:bookmarkEnd w:id="17"/>
    <w:bookmarkStart w:id="18" w:name="deliverables-at-the-end-of-this-phase"/>
    <w:p>
      <w:pPr>
        <w:pStyle w:val="Heading2"/>
      </w:pPr>
      <w:r>
        <w:t xml:space="preserve">Deliverables at the end of this phase</w:t>
      </w:r>
    </w:p>
    <w:p>
      <w:pPr>
        <w:pStyle w:val="Compact"/>
        <w:numPr>
          <w:ilvl w:val="0"/>
          <w:numId w:val="1008"/>
        </w:numPr>
      </w:pPr>
      <w:r>
        <w:t xml:space="preserve">a consistent file structure</w:t>
      </w:r>
    </w:p>
    <w:p>
      <w:pPr>
        <w:pStyle w:val="Compact"/>
        <w:numPr>
          <w:ilvl w:val="0"/>
          <w:numId w:val="1008"/>
        </w:numPr>
      </w:pPr>
      <w:r>
        <w:t xml:space="preserve">a documented environment contract</w:t>
      </w:r>
    </w:p>
    <w:p>
      <w:pPr>
        <w:pStyle w:val="Compact"/>
        <w:numPr>
          <w:ilvl w:val="0"/>
          <w:numId w:val="1008"/>
        </w:numPr>
      </w:pPr>
      <w:r>
        <w:t xml:space="preserve">a local startup path</w:t>
      </w:r>
    </w:p>
    <w:p>
      <w:pPr>
        <w:pStyle w:val="Compact"/>
        <w:numPr>
          <w:ilvl w:val="0"/>
          <w:numId w:val="1008"/>
        </w:numPr>
      </w:pPr>
      <w:r>
        <w:t xml:space="preserve">a clean source-control baseline</w:t>
      </w:r>
    </w:p>
    <w:bookmarkEnd w:id="18"/>
    <w:bookmarkStart w:id="19" w:name="diagram"/>
    <w:p>
      <w:pPr>
        <w:pStyle w:val="Heading2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A["Start with repository root"] --&gt; B["Run setup.sh or use committed scaffold"]</w:t>
      </w:r>
      <w:r>
        <w:br/>
      </w:r>
      <w:r>
        <w:rPr>
          <w:rStyle w:val="VerbatimChar"/>
        </w:rPr>
        <w:t xml:space="preserve">    B --&gt; C["Create backend, frontend, infra, workflows, tests"]</w:t>
      </w:r>
      <w:r>
        <w:br/>
      </w:r>
      <w:r>
        <w:rPr>
          <w:rStyle w:val="VerbatimChar"/>
        </w:rPr>
        <w:t xml:space="preserve">    C --&gt; D["Populate .env from .env.example"]</w:t>
      </w:r>
      <w:r>
        <w:br/>
      </w:r>
      <w:r>
        <w:rPr>
          <w:rStyle w:val="VerbatimChar"/>
        </w:rPr>
        <w:t xml:space="preserve">    D --&gt; E["Choose local dev or Docker Compose startup path"]</w:t>
      </w:r>
      <w:r>
        <w:br/>
      </w:r>
      <w:r>
        <w:rPr>
          <w:rStyle w:val="VerbatimChar"/>
        </w:rPr>
        <w:t xml:space="preserve">    E --&gt; F["Reach runnable project baseline"]</w:t>
      </w:r>
    </w:p>
    <w:bookmarkEnd w:id="19"/>
    <w:bookmarkStart w:id="20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9"/>
        </w:numPr>
      </w:pPr>
      <w:r>
        <w:t xml:space="preserve">the repository contains all functional directories</w:t>
      </w:r>
    </w:p>
    <w:p>
      <w:pPr>
        <w:pStyle w:val="Compact"/>
        <w:numPr>
          <w:ilvl w:val="0"/>
          <w:numId w:val="1009"/>
        </w:numPr>
      </w:pPr>
      <w:r>
        <w:t xml:space="preserve">environment settings are documented</w:t>
      </w:r>
    </w:p>
    <w:p>
      <w:pPr>
        <w:pStyle w:val="Compact"/>
        <w:numPr>
          <w:ilvl w:val="0"/>
          <w:numId w:val="1009"/>
        </w:numPr>
      </w:pPr>
      <w:r>
        <w:t xml:space="preserve">startup options are clear</w:t>
      </w:r>
    </w:p>
    <w:p>
      <w:pPr>
        <w:pStyle w:val="Compact"/>
        <w:numPr>
          <w:ilvl w:val="0"/>
          <w:numId w:val="1009"/>
        </w:numPr>
      </w:pPr>
      <w:r>
        <w:t xml:space="preserve">source-control ignore rules are in place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Foundation And Bootstrap</dc:title>
  <dc:creator/>
  <cp:keywords/>
  <dcterms:created xsi:type="dcterms:W3CDTF">2026-04-29T22:55:58Z</dcterms:created>
  <dcterms:modified xsi:type="dcterms:W3CDTF">2026-04-29T22:55:58Z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