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3 Retrieval And Domain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hase-3-retrieval-and-domain-analysis"/>
    <w:p>
      <w:pPr>
        <w:pStyle w:val="Heading1"/>
      </w:pPr>
      <w:r>
        <w:t xml:space="preserve">Phase 3: Retrieval and Domain Analysis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Combine lightweight domain context with deterministic extraction logic to</w:t>
      </w:r>
      <w:r>
        <w:t xml:space="preserve"> </w:t>
      </w:r>
      <w:r>
        <w:t xml:space="preserve">produce a dependable first-pass business decision before any external AI service</w:t>
      </w:r>
      <w:r>
        <w:t xml:space="preserve"> </w:t>
      </w:r>
      <w:r>
        <w:t xml:space="preserve">is involved.</w:t>
      </w:r>
    </w:p>
    <w:bookmarkEnd w:id="9"/>
    <w:bookmarkStart w:id="10" w:name="code-anchors"/>
    <w:p>
      <w:pPr>
        <w:pStyle w:val="Heading2"/>
      </w:pPr>
      <w:r>
        <w:t xml:space="preserve">Code anchors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backend/app/rag/retrieval.py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backend/app/agents/invoice_agent.py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backend/app/agents/prior_auth_agent.py</w:t>
      </w:r>
    </w:p>
    <w:bookmarkEnd w:id="10"/>
    <w:bookmarkStart w:id="17" w:name="detailed-steps"/>
    <w:p>
      <w:pPr>
        <w:pStyle w:val="Heading2"/>
      </w:pPr>
      <w:r>
        <w:t xml:space="preserve">Detailed steps</w:t>
      </w:r>
    </w:p>
    <w:bookmarkStart w:id="11" w:name="step-1-normalize-the-input-text"/>
    <w:p>
      <w:pPr>
        <w:pStyle w:val="Heading3"/>
      </w:pPr>
      <w:r>
        <w:t xml:space="preserve">Step 1: Normalize the input text</w:t>
      </w:r>
    </w:p>
    <w:p>
      <w:pPr>
        <w:pStyle w:val="FirstParagraph"/>
      </w:pPr>
      <w:r>
        <w:t xml:space="preserve">Both domain agents collapse whitespace and analyze a normalized string. This</w:t>
      </w:r>
      <w:r>
        <w:t xml:space="preserve"> </w:t>
      </w:r>
      <w:r>
        <w:t xml:space="preserve">reduces sensitivity to OCR line breaks and uneven spacing.</w:t>
      </w:r>
    </w:p>
    <w:bookmarkEnd w:id="11"/>
    <w:bookmarkStart w:id="12" w:name="step-2-retrieve-domain-hints"/>
    <w:p>
      <w:pPr>
        <w:pStyle w:val="Heading3"/>
      </w:pPr>
      <w:r>
        <w:t xml:space="preserve">Step 2: Retrieve domain hints</w:t>
      </w:r>
    </w:p>
    <w:p>
      <w:pPr>
        <w:pStyle w:val="FirstParagraph"/>
      </w:pPr>
      <w:r>
        <w:rPr>
          <w:rStyle w:val="VerbatimChar"/>
        </w:rPr>
        <w:t xml:space="preserve">DomainRetriever</w:t>
      </w:r>
      <w:r>
        <w:t xml:space="preserve"> </w:t>
      </w:r>
      <w:r>
        <w:t xml:space="preserve">uses keyword overlap against a small in-memory corpus.</w:t>
      </w:r>
    </w:p>
    <w:p>
      <w:pPr>
        <w:pStyle w:val="BodyText"/>
      </w:pPr>
      <w:r>
        <w:t xml:space="preserve">Current behavior:</w:t>
      </w:r>
    </w:p>
    <w:p>
      <w:pPr>
        <w:pStyle w:val="Compact"/>
        <w:numPr>
          <w:ilvl w:val="0"/>
          <w:numId w:val="1002"/>
        </w:numPr>
      </w:pPr>
      <w:r>
        <w:t xml:space="preserve">select snippets only from the matching business domain</w:t>
      </w:r>
    </w:p>
    <w:p>
      <w:pPr>
        <w:pStyle w:val="Compact"/>
        <w:numPr>
          <w:ilvl w:val="0"/>
          <w:numId w:val="1002"/>
        </w:numPr>
      </w:pPr>
      <w:r>
        <w:t xml:space="preserve">rank them by keyword overlap</w:t>
      </w:r>
    </w:p>
    <w:p>
      <w:pPr>
        <w:pStyle w:val="Compact"/>
        <w:numPr>
          <w:ilvl w:val="0"/>
          <w:numId w:val="1002"/>
        </w:numPr>
      </w:pPr>
      <w:r>
        <w:t xml:space="preserve">return the highest scoring items</w:t>
      </w:r>
    </w:p>
    <w:p>
      <w:pPr>
        <w:pStyle w:val="Compact"/>
        <w:numPr>
          <w:ilvl w:val="0"/>
          <w:numId w:val="1002"/>
        </w:numPr>
      </w:pPr>
      <w:r>
        <w:t xml:space="preserve">fall back to default domain snippets when overlap is zero</w:t>
      </w:r>
    </w:p>
    <w:p>
      <w:pPr>
        <w:pStyle w:val="FirstParagraph"/>
      </w:pPr>
      <w:r>
        <w:t xml:space="preserve">This is intentionally simple but useful for explaining why a route or escalation</w:t>
      </w:r>
      <w:r>
        <w:t xml:space="preserve"> </w:t>
      </w:r>
      <w:r>
        <w:t xml:space="preserve">occurred.</w:t>
      </w:r>
    </w:p>
    <w:bookmarkEnd w:id="12"/>
    <w:bookmarkStart w:id="13" w:name="step-3-extract-structured-fields"/>
    <w:p>
      <w:pPr>
        <w:pStyle w:val="Heading3"/>
      </w:pPr>
      <w:r>
        <w:t xml:space="preserve">Step 3: Extract structured fields</w:t>
      </w:r>
    </w:p>
    <w:p>
      <w:pPr>
        <w:pStyle w:val="FirstParagraph"/>
      </w:pPr>
      <w:r>
        <w:t xml:space="preserve">The domain agents use explicit regex patterns to pull out known business data.</w:t>
      </w:r>
    </w:p>
    <w:p>
      <w:pPr>
        <w:pStyle w:val="BodyText"/>
      </w:pPr>
      <w:r>
        <w:t xml:space="preserve">Invoice fields:</w:t>
      </w:r>
    </w:p>
    <w:p>
      <w:pPr>
        <w:pStyle w:val="Compact"/>
        <w:numPr>
          <w:ilvl w:val="0"/>
          <w:numId w:val="1003"/>
        </w:numPr>
      </w:pPr>
      <w:r>
        <w:t xml:space="preserve">invoice number</w:t>
      </w:r>
    </w:p>
    <w:p>
      <w:pPr>
        <w:pStyle w:val="Compact"/>
        <w:numPr>
          <w:ilvl w:val="0"/>
          <w:numId w:val="1003"/>
        </w:numPr>
      </w:pPr>
      <w:r>
        <w:t xml:space="preserve">vendor</w:t>
      </w:r>
    </w:p>
    <w:p>
      <w:pPr>
        <w:pStyle w:val="Compact"/>
        <w:numPr>
          <w:ilvl w:val="0"/>
          <w:numId w:val="1003"/>
        </w:numPr>
      </w:pPr>
      <w:r>
        <w:t xml:space="preserve">amount due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0"/>
          <w:numId w:val="1003"/>
        </w:numPr>
      </w:pPr>
      <w:r>
        <w:t xml:space="preserve">purchase order number</w:t>
      </w:r>
    </w:p>
    <w:p>
      <w:pPr>
        <w:pStyle w:val="FirstParagraph"/>
      </w:pPr>
      <w:r>
        <w:t xml:space="preserve">Prior authorization fields:</w:t>
      </w:r>
    </w:p>
    <w:p>
      <w:pPr>
        <w:pStyle w:val="Compact"/>
        <w:numPr>
          <w:ilvl w:val="0"/>
          <w:numId w:val="1004"/>
        </w:numPr>
      </w:pPr>
      <w:r>
        <w:t xml:space="preserve">patient name</w:t>
      </w:r>
    </w:p>
    <w:p>
      <w:pPr>
        <w:pStyle w:val="Compact"/>
        <w:numPr>
          <w:ilvl w:val="0"/>
          <w:numId w:val="1004"/>
        </w:numPr>
      </w:pPr>
      <w:r>
        <w:t xml:space="preserve">member ID</w:t>
      </w:r>
    </w:p>
    <w:p>
      <w:pPr>
        <w:pStyle w:val="Compact"/>
        <w:numPr>
          <w:ilvl w:val="0"/>
          <w:numId w:val="1004"/>
        </w:numPr>
      </w:pPr>
      <w:r>
        <w:t xml:space="preserve">payer</w:t>
      </w:r>
    </w:p>
    <w:p>
      <w:pPr>
        <w:pStyle w:val="Compact"/>
        <w:numPr>
          <w:ilvl w:val="0"/>
          <w:numId w:val="1004"/>
        </w:numPr>
      </w:pPr>
      <w:r>
        <w:t xml:space="preserve">diagnosis</w:t>
      </w:r>
    </w:p>
    <w:p>
      <w:pPr>
        <w:pStyle w:val="Compact"/>
        <w:numPr>
          <w:ilvl w:val="0"/>
          <w:numId w:val="1004"/>
        </w:numPr>
      </w:pPr>
      <w:r>
        <w:t xml:space="preserve">procedure</w:t>
      </w:r>
    </w:p>
    <w:p>
      <w:pPr>
        <w:pStyle w:val="Compact"/>
        <w:numPr>
          <w:ilvl w:val="0"/>
          <w:numId w:val="1004"/>
        </w:numPr>
      </w:pPr>
      <w:r>
        <w:t xml:space="preserve">ordering provider</w:t>
      </w:r>
    </w:p>
    <w:bookmarkEnd w:id="13"/>
    <w:bookmarkStart w:id="14" w:name="step-4-detect-missing-critical-data"/>
    <w:p>
      <w:pPr>
        <w:pStyle w:val="Heading3"/>
      </w:pPr>
      <w:r>
        <w:t xml:space="preserve">Step 4: Detect missing critical data</w:t>
      </w:r>
    </w:p>
    <w:p>
      <w:pPr>
        <w:pStyle w:val="FirstParagraph"/>
      </w:pPr>
      <w:r>
        <w:t xml:space="preserve">Each agent defines a small set of fields that must exist for a high-confidence</w:t>
      </w:r>
      <w:r>
        <w:t xml:space="preserve"> </w:t>
      </w:r>
      <w:r>
        <w:t xml:space="preserve">result. Missing values reduce confidence and trigger operator-facing next</w:t>
      </w:r>
      <w:r>
        <w:t xml:space="preserve"> </w:t>
      </w:r>
      <w:r>
        <w:t xml:space="preserve">actions.</w:t>
      </w:r>
    </w:p>
    <w:p>
      <w:pPr>
        <w:pStyle w:val="BodyText"/>
      </w:pPr>
      <w:r>
        <w:t xml:space="preserve">This is important because it makes incompleteness visible rather than silently</w:t>
      </w:r>
      <w:r>
        <w:t xml:space="preserve"> </w:t>
      </w:r>
      <w:r>
        <w:t xml:space="preserve">pretending the document was fully parsed.</w:t>
      </w:r>
    </w:p>
    <w:bookmarkEnd w:id="14"/>
    <w:bookmarkStart w:id="15" w:name="X3495b16290cdff721adeede6620d85026a1bc5c"/>
    <w:p>
      <w:pPr>
        <w:pStyle w:val="Heading3"/>
      </w:pPr>
      <w:r>
        <w:t xml:space="preserve">Step 5: Convert extracted values into routing decisions</w:t>
      </w:r>
    </w:p>
    <w:p>
      <w:pPr>
        <w:pStyle w:val="FirstParagraph"/>
      </w:pPr>
      <w:r>
        <w:t xml:space="preserve">The agent logic then applies domain-specific rules:</w:t>
      </w:r>
    </w:p>
    <w:p>
      <w:pPr>
        <w:pStyle w:val="BodyText"/>
      </w:pPr>
      <w:r>
        <w:t xml:space="preserve">Invoice rules:</w:t>
      </w:r>
    </w:p>
    <w:p>
      <w:pPr>
        <w:pStyle w:val="Compact"/>
        <w:numPr>
          <w:ilvl w:val="0"/>
          <w:numId w:val="1005"/>
        </w:numPr>
      </w:pPr>
      <w:r>
        <w:t xml:space="preserve">if amount is</w:t>
      </w:r>
      <w:r>
        <w:t xml:space="preserve"> </w:t>
      </w:r>
      <w:r>
        <w:rPr>
          <w:rStyle w:val="VerbatimChar"/>
        </w:rPr>
        <w:t xml:space="preserve">&gt;= 10000</w:t>
      </w:r>
      <w:r>
        <w:t xml:space="preserve">, escalate to</w:t>
      </w:r>
      <w:r>
        <w:t xml:space="preserve"> </w:t>
      </w:r>
      <w:r>
        <w:rPr>
          <w:rStyle w:val="VerbatimChar"/>
        </w:rPr>
        <w:t xml:space="preserve">finance.ap_high_value</w:t>
      </w:r>
    </w:p>
    <w:p>
      <w:pPr>
        <w:pStyle w:val="Compact"/>
        <w:numPr>
          <w:ilvl w:val="0"/>
          <w:numId w:val="1005"/>
        </w:numPr>
      </w:pPr>
      <w:r>
        <w:t xml:space="preserve">otherwise route to</w:t>
      </w:r>
      <w:r>
        <w:t xml:space="preserve"> </w:t>
      </w:r>
      <w:r>
        <w:rPr>
          <w:rStyle w:val="VerbatimChar"/>
        </w:rPr>
        <w:t xml:space="preserve">finance.ap_standard</w:t>
      </w:r>
    </w:p>
    <w:p>
      <w:pPr>
        <w:pStyle w:val="Compact"/>
        <w:numPr>
          <w:ilvl w:val="0"/>
          <w:numId w:val="1005"/>
        </w:numPr>
      </w:pPr>
      <w:r>
        <w:t xml:space="preserve">if a PO is present, require matching</w:t>
      </w:r>
    </w:p>
    <w:p>
      <w:pPr>
        <w:pStyle w:val="Compact"/>
        <w:numPr>
          <w:ilvl w:val="0"/>
          <w:numId w:val="1005"/>
        </w:numPr>
      </w:pPr>
      <w:r>
        <w:t xml:space="preserve">if no PO is present, request confirmation of non-PO spend</w:t>
      </w:r>
    </w:p>
    <w:p>
      <w:pPr>
        <w:pStyle w:val="FirstParagraph"/>
      </w:pPr>
      <w:r>
        <w:t xml:space="preserve">Prior authorization rules:</w:t>
      </w:r>
    </w:p>
    <w:p>
      <w:pPr>
        <w:pStyle w:val="Compact"/>
        <w:numPr>
          <w:ilvl w:val="0"/>
          <w:numId w:val="1006"/>
        </w:numPr>
      </w:pPr>
      <w:r>
        <w:t xml:space="preserve">if high-acuity keywords are present, escalate to</w:t>
      </w:r>
      <w:r>
        <w:t xml:space="preserve"> </w:t>
      </w:r>
      <w:r>
        <w:rPr>
          <w:rStyle w:val="VerbatimChar"/>
        </w:rPr>
        <w:t xml:space="preserve">healthcare.medical_review</w:t>
      </w:r>
    </w:p>
    <w:p>
      <w:pPr>
        <w:pStyle w:val="Compact"/>
        <w:numPr>
          <w:ilvl w:val="0"/>
          <w:numId w:val="1006"/>
        </w:numPr>
      </w:pPr>
      <w:r>
        <w:t xml:space="preserve">otherwise route to</w:t>
      </w:r>
      <w:r>
        <w:t xml:space="preserve"> </w:t>
      </w:r>
      <w:r>
        <w:rPr>
          <w:rStyle w:val="VerbatimChar"/>
        </w:rPr>
        <w:t xml:space="preserve">healthcare.utilization_review</w:t>
      </w:r>
    </w:p>
    <w:p>
      <w:pPr>
        <w:pStyle w:val="Compact"/>
        <w:numPr>
          <w:ilvl w:val="0"/>
          <w:numId w:val="1006"/>
        </w:numPr>
      </w:pPr>
      <w:r>
        <w:t xml:space="preserve">always confirm eligibility and diagnosis-to-procedure alignment</w:t>
      </w:r>
    </w:p>
    <w:bookmarkEnd w:id="15"/>
    <w:bookmarkStart w:id="16" w:name="step-6-score-confidence"/>
    <w:p>
      <w:pPr>
        <w:pStyle w:val="Heading3"/>
      </w:pPr>
      <w:r>
        <w:t xml:space="preserve">Step 6: Score confidence</w:t>
      </w:r>
    </w:p>
    <w:p>
      <w:pPr>
        <w:pStyle w:val="FirstParagraph"/>
      </w:pPr>
      <w:r>
        <w:t xml:space="preserve">Confidence starts from a business-specific base and is adjusted based on:</w:t>
      </w:r>
    </w:p>
    <w:p>
      <w:pPr>
        <w:pStyle w:val="Compact"/>
        <w:numPr>
          <w:ilvl w:val="0"/>
          <w:numId w:val="1007"/>
        </w:numPr>
      </w:pPr>
      <w:r>
        <w:t xml:space="preserve">count of missing critical fields</w:t>
      </w:r>
    </w:p>
    <w:p>
      <w:pPr>
        <w:pStyle w:val="Compact"/>
        <w:numPr>
          <w:ilvl w:val="0"/>
          <w:numId w:val="1007"/>
        </w:numPr>
      </w:pPr>
      <w:r>
        <w:t xml:space="preserve">presence of retrieval context</w:t>
      </w:r>
    </w:p>
    <w:p>
      <w:pPr>
        <w:pStyle w:val="FirstParagraph"/>
      </w:pPr>
      <w:r>
        <w:t xml:space="preserve">This keeps confidence explainable rather than model-derived and opaque.</w:t>
      </w:r>
    </w:p>
    <w:bookmarkEnd w:id="16"/>
    <w:bookmarkEnd w:id="17"/>
    <w:bookmarkStart w:id="18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The current retrieval logic is still intentionally lightweight. The strongest</w:t>
      </w:r>
      <w:r>
        <w:t xml:space="preserve"> </w:t>
      </w:r>
      <w:r>
        <w:t xml:space="preserve">upgrade path is to replace the in-memory snippet approach with OCI or OpenAI</w:t>
      </w:r>
      <w:r>
        <w:t xml:space="preserve"> </w:t>
      </w:r>
      <w:r>
        <w:t xml:space="preserve">file-search-backed retrieval and Oracle AI Vector Search, while preserving the</w:t>
      </w:r>
      <w:r>
        <w:t xml:space="preserve"> </w:t>
      </w:r>
      <w:r>
        <w:t xml:space="preserve">current explainability contract.</w:t>
      </w:r>
    </w:p>
    <w:bookmarkEnd w:id="18"/>
    <w:bookmarkStart w:id="19" w:name="diagram"/>
    <w:p>
      <w:pPr>
        <w:pStyle w:val="Heading2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A["Normalized document text"] --&gt; B["Search in-memory domain snippets"]</w:t>
      </w:r>
      <w:r>
        <w:br/>
      </w:r>
      <w:r>
        <w:rPr>
          <w:rStyle w:val="VerbatimChar"/>
        </w:rPr>
        <w:t xml:space="preserve">    B --&gt; C["Return ranked retrieval context"]</w:t>
      </w:r>
      <w:r>
        <w:br/>
      </w:r>
      <w:r>
        <w:rPr>
          <w:rStyle w:val="VerbatimChar"/>
        </w:rPr>
        <w:t xml:space="preserve">    C --&gt; D["Run regex-based field extraction"]</w:t>
      </w:r>
      <w:r>
        <w:br/>
      </w:r>
      <w:r>
        <w:rPr>
          <w:rStyle w:val="VerbatimChar"/>
        </w:rPr>
        <w:t xml:space="preserve">    D --&gt; E["Check missing critical fields"]</w:t>
      </w:r>
      <w:r>
        <w:br/>
      </w:r>
      <w:r>
        <w:rPr>
          <w:rStyle w:val="VerbatimChar"/>
        </w:rPr>
        <w:t xml:space="preserve">    E --&gt; F["Apply domain routing rules"]</w:t>
      </w:r>
      <w:r>
        <w:br/>
      </w:r>
      <w:r>
        <w:rPr>
          <w:rStyle w:val="VerbatimChar"/>
        </w:rPr>
        <w:t xml:space="preserve">    F --&gt; G["Build summary, next actions, confidence"]</w:t>
      </w:r>
    </w:p>
    <w:bookmarkEnd w:id="19"/>
    <w:bookmarkStart w:id="20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8"/>
        </w:numPr>
      </w:pPr>
      <w:r>
        <w:t xml:space="preserve">extraction works without external AI configuration</w:t>
      </w:r>
    </w:p>
    <w:p>
      <w:pPr>
        <w:pStyle w:val="Compact"/>
        <w:numPr>
          <w:ilvl w:val="0"/>
          <w:numId w:val="1008"/>
        </w:numPr>
      </w:pPr>
      <w:r>
        <w:t xml:space="preserve">routing decisions are reproducible</w:t>
      </w:r>
    </w:p>
    <w:p>
      <w:pPr>
        <w:pStyle w:val="Compact"/>
        <w:numPr>
          <w:ilvl w:val="0"/>
          <w:numId w:val="1008"/>
        </w:numPr>
      </w:pPr>
      <w:r>
        <w:t xml:space="preserve">missing data is surfaced explicitly</w:t>
      </w:r>
    </w:p>
    <w:p>
      <w:pPr>
        <w:pStyle w:val="Compact"/>
        <w:numPr>
          <w:ilvl w:val="0"/>
          <w:numId w:val="1008"/>
        </w:numPr>
      </w:pPr>
      <w:r>
        <w:t xml:space="preserve">retrieval context is attached for operator review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Retrieval And Domain Analysis</dc:title>
  <dc:creator/>
  <cp:keywords/>
  <dcterms:created xsi:type="dcterms:W3CDTF">2026-04-29T22:56:00Z</dcterms:created>
  <dcterms:modified xsi:type="dcterms:W3CDTF">2026-04-29T22:56:00Z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