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4 Ai Enrichment And Fallback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hase-4-ai-enrichment-and-fallback"/>
    <w:p>
      <w:pPr>
        <w:pStyle w:val="Heading1"/>
      </w:pPr>
      <w:r>
        <w:t xml:space="preserve">Phase 4: AI Enrichment and Fallback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Allow the platform to enhance local results with external summaries while</w:t>
      </w:r>
      <w:r>
        <w:t xml:space="preserve"> </w:t>
      </w:r>
      <w:r>
        <w:t xml:space="preserve">protecting the deterministic workflow from provider outages or missing</w:t>
      </w:r>
      <w:r>
        <w:t xml:space="preserve"> </w:t>
      </w:r>
      <w:r>
        <w:t xml:space="preserve">credentials.</w:t>
      </w:r>
    </w:p>
    <w:bookmarkEnd w:id="9"/>
    <w:bookmarkStart w:id="10" w:name="code-anchors"/>
    <w:p>
      <w:pPr>
        <w:pStyle w:val="Heading2"/>
      </w:pPr>
      <w:r>
        <w:t xml:space="preserve">Code anchors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backend/app/ai/openai_client.py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backend/app/ai/oci_ai_client.py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backend/app/orchestration/agent_router.py</w:t>
      </w:r>
    </w:p>
    <w:bookmarkEnd w:id="10"/>
    <w:bookmarkStart w:id="16" w:name="detailed-steps"/>
    <w:p>
      <w:pPr>
        <w:pStyle w:val="Heading2"/>
      </w:pPr>
      <w:r>
        <w:t xml:space="preserve">Detailed steps</w:t>
      </w:r>
    </w:p>
    <w:bookmarkStart w:id="11" w:name="step-1-finish-local-analysis-first"/>
    <w:p>
      <w:pPr>
        <w:pStyle w:val="Heading3"/>
      </w:pPr>
      <w:r>
        <w:t xml:space="preserve">Step 1: Finish local analysis first</w:t>
      </w:r>
    </w:p>
    <w:p>
      <w:pPr>
        <w:pStyle w:val="FirstParagraph"/>
      </w:pPr>
      <w:r>
        <w:t xml:space="preserve">The router always runs the local domain agent before external AI calls. That</w:t>
      </w:r>
      <w:r>
        <w:t xml:space="preserve"> </w:t>
      </w:r>
      <w:r>
        <w:t xml:space="preserve">means routing targets, extracted fields, and next actions exist even when a</w:t>
      </w:r>
      <w:r>
        <w:t xml:space="preserve"> </w:t>
      </w:r>
      <w:r>
        <w:t xml:space="preserve">provider is unavailable.</w:t>
      </w:r>
    </w:p>
    <w:bookmarkEnd w:id="11"/>
    <w:bookmarkStart w:id="12" w:name="step-2-inspect-the-requested-provider"/>
    <w:p>
      <w:pPr>
        <w:pStyle w:val="Heading3"/>
      </w:pPr>
      <w:r>
        <w:t xml:space="preserve">Step 2: Inspect the requested provider</w:t>
      </w:r>
    </w:p>
    <w:p>
      <w:pPr>
        <w:pStyle w:val="FirstParagraph"/>
      </w:pPr>
      <w:r>
        <w:t xml:space="preserve">The incoming request can choose: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local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openai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oci</w:t>
      </w:r>
    </w:p>
    <w:p>
      <w:pPr>
        <w:pStyle w:val="FirstParagraph"/>
      </w:pPr>
      <w:r>
        <w:rPr>
          <w:rStyle w:val="VerbatimChar"/>
        </w:rPr>
        <w:t xml:space="preserve">local</w:t>
      </w:r>
      <w:r>
        <w:t xml:space="preserve"> </w:t>
      </w:r>
      <w:r>
        <w:t xml:space="preserve">returns the deterministic result immediately.</w:t>
      </w:r>
    </w:p>
    <w:bookmarkEnd w:id="12"/>
    <w:bookmarkStart w:id="13" w:name="step-3-attempt-provider-enrichment"/>
    <w:p>
      <w:pPr>
        <w:pStyle w:val="Heading3"/>
      </w:pPr>
      <w:r>
        <w:t xml:space="preserve">Step 3: Attempt provider enrichment</w:t>
      </w:r>
    </w:p>
    <w:p>
      <w:pPr>
        <w:pStyle w:val="FirstParagraph"/>
      </w:pPr>
      <w:r>
        <w:t xml:space="preserve">OpenAI path:</w:t>
      </w:r>
    </w:p>
    <w:p>
      <w:pPr>
        <w:pStyle w:val="Compact"/>
        <w:numPr>
          <w:ilvl w:val="0"/>
          <w:numId w:val="1003"/>
        </w:numPr>
      </w:pPr>
      <w:r>
        <w:t xml:space="preserve">require</w:t>
      </w:r>
      <w:r>
        <w:t xml:space="preserve"> </w:t>
      </w:r>
      <w:r>
        <w:rPr>
          <w:rStyle w:val="VerbatimChar"/>
        </w:rPr>
        <w:t xml:space="preserve">OPENAI_API_KEY</w:t>
      </w:r>
    </w:p>
    <w:p>
      <w:pPr>
        <w:pStyle w:val="Compact"/>
        <w:numPr>
          <w:ilvl w:val="0"/>
          <w:numId w:val="1003"/>
        </w:numPr>
      </w:pPr>
      <w:r>
        <w:t xml:space="preserve">build a summary prompt from the deterministic result</w:t>
      </w:r>
    </w:p>
    <w:p>
      <w:pPr>
        <w:pStyle w:val="Compact"/>
        <w:numPr>
          <w:ilvl w:val="0"/>
          <w:numId w:val="1003"/>
        </w:numPr>
      </w:pPr>
      <w:r>
        <w:t xml:space="preserve">call the OpenAI Responses API</w:t>
      </w:r>
    </w:p>
    <w:p>
      <w:pPr>
        <w:pStyle w:val="Compact"/>
        <w:numPr>
          <w:ilvl w:val="0"/>
          <w:numId w:val="1003"/>
        </w:numPr>
      </w:pPr>
      <w:r>
        <w:t xml:space="preserve">extract returned text</w:t>
      </w:r>
    </w:p>
    <w:p>
      <w:pPr>
        <w:pStyle w:val="FirstParagraph"/>
      </w:pPr>
      <w:r>
        <w:t xml:space="preserve">OCI path:</w:t>
      </w:r>
    </w:p>
    <w:p>
      <w:pPr>
        <w:pStyle w:val="Compact"/>
        <w:numPr>
          <w:ilvl w:val="0"/>
          <w:numId w:val="1004"/>
        </w:numPr>
      </w:pPr>
      <w:r>
        <w:t xml:space="preserve">require endpoint and API key</w:t>
      </w:r>
    </w:p>
    <w:p>
      <w:pPr>
        <w:pStyle w:val="Compact"/>
        <w:numPr>
          <w:ilvl w:val="0"/>
          <w:numId w:val="1004"/>
        </w:numPr>
      </w:pPr>
      <w:r>
        <w:t xml:space="preserve">send a summary request to the configured endpoint</w:t>
      </w:r>
    </w:p>
    <w:p>
      <w:pPr>
        <w:pStyle w:val="Compact"/>
        <w:numPr>
          <w:ilvl w:val="0"/>
          <w:numId w:val="1004"/>
        </w:numPr>
      </w:pPr>
      <w:r>
        <w:t xml:space="preserve">extract returned text from a flexible JSON shape</w:t>
      </w:r>
    </w:p>
    <w:bookmarkEnd w:id="13"/>
    <w:bookmarkStart w:id="14" w:name="X62f02a141038db901c9c0e1de7ecf2caa963df1"/>
    <w:p>
      <w:pPr>
        <w:pStyle w:val="Heading3"/>
      </w:pPr>
      <w:r>
        <w:t xml:space="preserve">Step 4: Handle provider unavailability safely</w:t>
      </w:r>
    </w:p>
    <w:p>
      <w:pPr>
        <w:pStyle w:val="FirstParagraph"/>
      </w:pPr>
      <w:r>
        <w:t xml:space="preserve">If a provider is not configured or fails:</w:t>
      </w:r>
    </w:p>
    <w:p>
      <w:pPr>
        <w:pStyle w:val="Compact"/>
        <w:numPr>
          <w:ilvl w:val="0"/>
          <w:numId w:val="1005"/>
        </w:numPr>
      </w:pPr>
      <w:r>
        <w:t xml:space="preserve">keep the original local result</w:t>
      </w:r>
    </w:p>
    <w:p>
      <w:pPr>
        <w:pStyle w:val="Compact"/>
        <w:numPr>
          <w:ilvl w:val="0"/>
          <w:numId w:val="1005"/>
        </w:numPr>
      </w:pPr>
      <w:r>
        <w:t xml:space="preserve">append a processing note</w:t>
      </w:r>
    </w:p>
    <w:p>
      <w:pPr>
        <w:pStyle w:val="Compact"/>
        <w:numPr>
          <w:ilvl w:val="0"/>
          <w:numId w:val="1005"/>
        </w:numPr>
      </w:pPr>
      <w:r>
        <w:t xml:space="preserve">mark the request as</w:t>
      </w:r>
      <w:r>
        <w:t xml:space="preserve"> </w:t>
      </w:r>
      <w:r>
        <w:rPr>
          <w:rStyle w:val="VerbatimChar"/>
        </w:rPr>
        <w:t xml:space="preserve">completed_with_fallback</w:t>
      </w:r>
      <w:r>
        <w:t xml:space="preserve"> </w:t>
      </w:r>
      <w:r>
        <w:t xml:space="preserve">when appropriate</w:t>
      </w:r>
    </w:p>
    <w:p>
      <w:pPr>
        <w:pStyle w:val="FirstParagraph"/>
      </w:pPr>
      <w:r>
        <w:t xml:space="preserve">This prevents external dependencies from blocking operational output.</w:t>
      </w:r>
    </w:p>
    <w:bookmarkEnd w:id="14"/>
    <w:bookmarkStart w:id="15" w:name="step-5-preserve-the-same-response-schema"/>
    <w:p>
      <w:pPr>
        <w:pStyle w:val="Heading3"/>
      </w:pPr>
      <w:r>
        <w:t xml:space="preserve">Step 5: Preserve the same response schema</w:t>
      </w:r>
    </w:p>
    <w:p>
      <w:pPr>
        <w:pStyle w:val="FirstParagraph"/>
      </w:pPr>
      <w:r>
        <w:t xml:space="preserve">Even when provider enrichment succeeds, the response shape stays the same. Only</w:t>
      </w:r>
      <w:r>
        <w:t xml:space="preserve"> </w:t>
      </w:r>
      <w:r>
        <w:t xml:space="preserve">the summary text and provider value change.</w:t>
      </w:r>
    </w:p>
    <w:p>
      <w:pPr>
        <w:pStyle w:val="BodyText"/>
      </w:pPr>
      <w:r>
        <w:t xml:space="preserve">This is a deliberate compatibility rule for the frontend and future API clients.</w:t>
      </w:r>
    </w:p>
    <w:bookmarkEnd w:id="15"/>
    <w:bookmarkEnd w:id="16"/>
    <w:bookmarkStart w:id="17" w:name="diagram"/>
    <w:p>
      <w:pPr>
        <w:pStyle w:val="Heading2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A["Local domain result"] --&gt; B{"Requested provider"}</w:t>
      </w:r>
      <w:r>
        <w:br/>
      </w:r>
      <w:r>
        <w:rPr>
          <w:rStyle w:val="VerbatimChar"/>
        </w:rPr>
        <w:t xml:space="preserve">    B --&gt;|"local"| C["Return local result"]</w:t>
      </w:r>
      <w:r>
        <w:br/>
      </w:r>
      <w:r>
        <w:rPr>
          <w:rStyle w:val="VerbatimChar"/>
        </w:rPr>
        <w:t xml:space="preserve">    B --&gt;|"openai"| D{"OPENAI_API_KEY present?"}</w:t>
      </w:r>
      <w:r>
        <w:br/>
      </w:r>
      <w:r>
        <w:rPr>
          <w:rStyle w:val="VerbatimChar"/>
        </w:rPr>
        <w:t xml:space="preserve">    B --&gt;|"oci"| E{"OCI endpoint and key present?"}</w:t>
      </w:r>
      <w:r>
        <w:br/>
      </w:r>
      <w:r>
        <w:rPr>
          <w:rStyle w:val="VerbatimChar"/>
        </w:rPr>
        <w:t xml:space="preserve">    D --&gt;|"yes"| F["Call OpenAI Responses API"]</w:t>
      </w:r>
      <w:r>
        <w:br/>
      </w:r>
      <w:r>
        <w:rPr>
          <w:rStyle w:val="VerbatimChar"/>
        </w:rPr>
        <w:t xml:space="preserve">    D --&gt;|"no"| G["Keep local result and add fallback note"]</w:t>
      </w:r>
      <w:r>
        <w:br/>
      </w:r>
      <w:r>
        <w:rPr>
          <w:rStyle w:val="VerbatimChar"/>
        </w:rPr>
        <w:t xml:space="preserve">    E --&gt;|"yes"| H["Call OCI AI endpoint"]</w:t>
      </w:r>
      <w:r>
        <w:br/>
      </w:r>
      <w:r>
        <w:rPr>
          <w:rStyle w:val="VerbatimChar"/>
        </w:rPr>
        <w:t xml:space="preserve">    E --&gt;|"no"| G</w:t>
      </w:r>
      <w:r>
        <w:br/>
      </w:r>
      <w:r>
        <w:rPr>
          <w:rStyle w:val="VerbatimChar"/>
        </w:rPr>
        <w:t xml:space="preserve">    F --&gt; I{"Summary call succeeded?"}</w:t>
      </w:r>
      <w:r>
        <w:br/>
      </w:r>
      <w:r>
        <w:rPr>
          <w:rStyle w:val="VerbatimChar"/>
        </w:rPr>
        <w:t xml:space="preserve">    H --&gt; J{"Summary call succeeded?"}</w:t>
      </w:r>
      <w:r>
        <w:br/>
      </w:r>
      <w:r>
        <w:rPr>
          <w:rStyle w:val="VerbatimChar"/>
        </w:rPr>
        <w:t xml:space="preserve">    I --&gt;|"yes"| K["Replace summary and set provider=openai"]</w:t>
      </w:r>
      <w:r>
        <w:br/>
      </w:r>
      <w:r>
        <w:rPr>
          <w:rStyle w:val="VerbatimChar"/>
        </w:rPr>
        <w:t xml:space="preserve">    I --&gt;|"no"| G</w:t>
      </w:r>
      <w:r>
        <w:br/>
      </w:r>
      <w:r>
        <w:rPr>
          <w:rStyle w:val="VerbatimChar"/>
        </w:rPr>
        <w:t xml:space="preserve">    J --&gt;|"yes"| L["Replace summary and set provider=oci"]</w:t>
      </w:r>
      <w:r>
        <w:br/>
      </w:r>
      <w:r>
        <w:rPr>
          <w:rStyle w:val="VerbatimChar"/>
        </w:rPr>
        <w:t xml:space="preserve">    J --&gt;|"no"| G</w:t>
      </w:r>
    </w:p>
    <w:bookmarkEnd w:id="17"/>
    <w:bookmarkStart w:id="18" w:name="version-040-update"/>
    <w:p>
      <w:pPr>
        <w:pStyle w:val="Heading2"/>
      </w:pPr>
      <w:r>
        <w:t xml:space="preserve">Version 0.4.0 update</w:t>
      </w:r>
    </w:p>
    <w:p>
      <w:pPr>
        <w:pStyle w:val="FirstParagraph"/>
      </w:pPr>
      <w:r>
        <w:t xml:space="preserve">This phase now has two realistic expansion paths:</w:t>
      </w:r>
    </w:p>
    <w:p>
      <w:pPr>
        <w:pStyle w:val="Compact"/>
        <w:numPr>
          <w:ilvl w:val="0"/>
          <w:numId w:val="1006"/>
        </w:numPr>
      </w:pPr>
      <w:r>
        <w:t xml:space="preserve">OpenAI Responses API with remote MCP servers, connectors, structured outputs,</w:t>
      </w:r>
      <w:r>
        <w:t xml:space="preserve"> </w:t>
      </w:r>
      <w:r>
        <w:t xml:space="preserve">and background workflows</w:t>
      </w:r>
    </w:p>
    <w:p>
      <w:pPr>
        <w:pStyle w:val="Compact"/>
        <w:numPr>
          <w:ilvl w:val="0"/>
          <w:numId w:val="1006"/>
        </w:numPr>
      </w:pPr>
      <w:r>
        <w:t xml:space="preserve">OCI Enterprise AI and OCI Generative AI Enterprise AI agents for OCI-native</w:t>
      </w:r>
      <w:r>
        <w:t xml:space="preserve"> </w:t>
      </w:r>
      <w:r>
        <w:t xml:space="preserve">deployment with OpenAI-compatible request patterns</w:t>
      </w:r>
    </w:p>
    <w:bookmarkEnd w:id="18"/>
    <w:bookmarkStart w:id="19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7"/>
        </w:numPr>
      </w:pPr>
      <w:r>
        <w:t xml:space="preserve">local behavior remains primary</w:t>
      </w:r>
    </w:p>
    <w:p>
      <w:pPr>
        <w:pStyle w:val="Compact"/>
        <w:numPr>
          <w:ilvl w:val="0"/>
          <w:numId w:val="1007"/>
        </w:numPr>
      </w:pPr>
      <w:r>
        <w:t xml:space="preserve">provider enrichment is optional</w:t>
      </w:r>
    </w:p>
    <w:p>
      <w:pPr>
        <w:pStyle w:val="Compact"/>
        <w:numPr>
          <w:ilvl w:val="0"/>
          <w:numId w:val="1007"/>
        </w:numPr>
      </w:pPr>
      <w:r>
        <w:t xml:space="preserve">failures degrade gracefully</w:t>
      </w:r>
    </w:p>
    <w:p>
      <w:pPr>
        <w:pStyle w:val="Compact"/>
        <w:numPr>
          <w:ilvl w:val="0"/>
          <w:numId w:val="1007"/>
        </w:numPr>
      </w:pPr>
      <w:r>
        <w:t xml:space="preserve">operators can see fallback notes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Ai Enrichment And Fallback</dc:title>
  <dc:creator/>
  <cp:keywords/>
  <dcterms:created xsi:type="dcterms:W3CDTF">2026-04-29T22:56:01Z</dcterms:created>
  <dcterms:modified xsi:type="dcterms:W3CDTF">2026-04-29T22:56:01Z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