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5 Frontend Operator Console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hase-5-frontend-operator-console"/>
    <w:p>
      <w:pPr>
        <w:pStyle w:val="Heading1"/>
      </w:pPr>
      <w:r>
        <w:t xml:space="preserve">Phase 5: Frontend Operator Console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Give an operator a single-screen console for choosing a workflow, submitting a</w:t>
      </w:r>
      <w:r>
        <w:t xml:space="preserve"> </w:t>
      </w:r>
      <w:r>
        <w:t xml:space="preserve">document sample, and reviewing the system’s structured outcome.</w:t>
      </w:r>
    </w:p>
    <w:bookmarkEnd w:id="9"/>
    <w:bookmarkStart w:id="10" w:name="code-anchors"/>
    <w:p>
      <w:pPr>
        <w:pStyle w:val="Heading2"/>
      </w:pPr>
      <w:r>
        <w:t xml:space="preserve">Code anchors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frontend/src/App.tsx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frontend/src/styles.css</w:t>
      </w:r>
    </w:p>
    <w:bookmarkEnd w:id="10"/>
    <w:bookmarkStart w:id="17" w:name="detailed-steps"/>
    <w:p>
      <w:pPr>
        <w:pStyle w:val="Heading2"/>
      </w:pPr>
      <w:r>
        <w:t xml:space="preserve">Detailed steps</w:t>
      </w:r>
    </w:p>
    <w:bookmarkStart w:id="11" w:name="step-1-preload-usable-sample-documents"/>
    <w:p>
      <w:pPr>
        <w:pStyle w:val="Heading3"/>
      </w:pPr>
      <w:r>
        <w:t xml:space="preserve">Step 1: Preload usable sample documents</w:t>
      </w:r>
    </w:p>
    <w:p>
      <w:pPr>
        <w:pStyle w:val="FirstParagraph"/>
      </w:pPr>
      <w:r>
        <w:t xml:space="preserve">The UI ships with sample invoice and prior-authorization text. This matters</w:t>
      </w:r>
      <w:r>
        <w:t xml:space="preserve"> </w:t>
      </w:r>
      <w:r>
        <w:t xml:space="preserve">because a new user can validate the end-to-end flow immediately without hunting</w:t>
      </w:r>
      <w:r>
        <w:t xml:space="preserve"> </w:t>
      </w:r>
      <w:r>
        <w:t xml:space="preserve">for input data.</w:t>
      </w:r>
    </w:p>
    <w:bookmarkEnd w:id="11"/>
    <w:bookmarkStart w:id="12" w:name="step-2-collect-workflow-intent"/>
    <w:p>
      <w:pPr>
        <w:pStyle w:val="Heading3"/>
      </w:pPr>
      <w:r>
        <w:t xml:space="preserve">Step 2: Collect workflow intent</w:t>
      </w:r>
    </w:p>
    <w:p>
      <w:pPr>
        <w:pStyle w:val="FirstParagraph"/>
      </w:pPr>
      <w:r>
        <w:t xml:space="preserve">The operator chooses:</w:t>
      </w:r>
    </w:p>
    <w:p>
      <w:pPr>
        <w:pStyle w:val="Compact"/>
        <w:numPr>
          <w:ilvl w:val="0"/>
          <w:numId w:val="1002"/>
        </w:numPr>
      </w:pPr>
      <w:r>
        <w:t xml:space="preserve">agent type</w:t>
      </w:r>
    </w:p>
    <w:p>
      <w:pPr>
        <w:pStyle w:val="Compact"/>
        <w:numPr>
          <w:ilvl w:val="0"/>
          <w:numId w:val="1002"/>
        </w:numPr>
      </w:pPr>
      <w:r>
        <w:t xml:space="preserve">provider type</w:t>
      </w:r>
    </w:p>
    <w:p>
      <w:pPr>
        <w:pStyle w:val="Compact"/>
        <w:numPr>
          <w:ilvl w:val="0"/>
          <w:numId w:val="1002"/>
        </w:numPr>
      </w:pPr>
      <w:r>
        <w:t xml:space="preserve">document text</w:t>
      </w:r>
    </w:p>
    <w:p>
      <w:pPr>
        <w:pStyle w:val="FirstParagraph"/>
      </w:pPr>
      <w:r>
        <w:t xml:space="preserve">These map directly to the backend request schema.</w:t>
      </w:r>
    </w:p>
    <w:bookmarkEnd w:id="12"/>
    <w:bookmarkStart w:id="13" w:name="step-3-submit-the-request"/>
    <w:p>
      <w:pPr>
        <w:pStyle w:val="Heading3"/>
      </w:pPr>
      <w:r>
        <w:t xml:space="preserve">Step 3: Submit the request</w:t>
      </w:r>
    </w:p>
    <w:p>
      <w:pPr>
        <w:pStyle w:val="FirstParagraph"/>
      </w:pPr>
      <w:r>
        <w:t xml:space="preserve">The form sends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to: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VITE_API_BASE_URL + /api/v1/workflows/{workflow_name}/run</w:t>
      </w:r>
    </w:p>
    <w:p>
      <w:pPr>
        <w:pStyle w:val="FirstParagraph"/>
      </w:pPr>
      <w:r>
        <w:t xml:space="preserve">The request body contains: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provider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document_text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use_retrieval</w:t>
      </w:r>
    </w:p>
    <w:p>
      <w:pPr>
        <w:pStyle w:val="FirstParagraph"/>
      </w:pPr>
      <w:r>
        <w:t xml:space="preserve">The selected workflow maps to the appropriate domain agent on the backend.</w:t>
      </w:r>
    </w:p>
    <w:bookmarkEnd w:id="13"/>
    <w:bookmarkStart w:id="14" w:name="step-4-manage-asynchronous-ui-state"/>
    <w:p>
      <w:pPr>
        <w:pStyle w:val="Heading3"/>
      </w:pPr>
      <w:r>
        <w:t xml:space="preserve">Step 4: Manage asynchronous UI state</w:t>
      </w:r>
    </w:p>
    <w:p>
      <w:pPr>
        <w:pStyle w:val="FirstParagraph"/>
      </w:pPr>
      <w:r>
        <w:t xml:space="preserve">The UI uses: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 local state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useTransition</w:t>
      </w:r>
      <w:r>
        <w:t xml:space="preserve"> </w:t>
      </w:r>
      <w:r>
        <w:t xml:space="preserve">for non-blocking result updates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useDeferredValue</w:t>
      </w:r>
      <w:r>
        <w:t xml:space="preserve"> </w:t>
      </w:r>
      <w:r>
        <w:t xml:space="preserve">for lightweight live document-length feedback</w:t>
      </w:r>
    </w:p>
    <w:p>
      <w:pPr>
        <w:pStyle w:val="FirstParagraph"/>
      </w:pPr>
      <w:r>
        <w:t xml:space="preserve">This keeps the UI responsive even when requests take longer than local demos.</w:t>
      </w:r>
    </w:p>
    <w:bookmarkEnd w:id="14"/>
    <w:bookmarkStart w:id="15" w:name="step-5-render-operational-outputs"/>
    <w:p>
      <w:pPr>
        <w:pStyle w:val="Heading3"/>
      </w:pPr>
      <w:r>
        <w:t xml:space="preserve">Step 5: Render operational outputs</w:t>
      </w:r>
    </w:p>
    <w:p>
      <w:pPr>
        <w:pStyle w:val="FirstParagraph"/>
      </w:pPr>
      <w:r>
        <w:t xml:space="preserve">The results panel breaks the response into operator-friendly cards:</w:t>
      </w:r>
    </w:p>
    <w:p>
      <w:pPr>
        <w:pStyle w:val="Compact"/>
        <w:numPr>
          <w:ilvl w:val="0"/>
          <w:numId w:val="1006"/>
        </w:numPr>
      </w:pPr>
      <w:r>
        <w:t xml:space="preserve">summary</w:t>
      </w:r>
    </w:p>
    <w:p>
      <w:pPr>
        <w:pStyle w:val="Compact"/>
        <w:numPr>
          <w:ilvl w:val="0"/>
          <w:numId w:val="1006"/>
        </w:numPr>
      </w:pPr>
      <w:r>
        <w:t xml:space="preserve">extracted fields</w:t>
      </w:r>
    </w:p>
    <w:p>
      <w:pPr>
        <w:pStyle w:val="Compact"/>
        <w:numPr>
          <w:ilvl w:val="0"/>
          <w:numId w:val="1006"/>
        </w:numPr>
      </w:pPr>
      <w:r>
        <w:t xml:space="preserve">next actions</w:t>
      </w:r>
    </w:p>
    <w:p>
      <w:pPr>
        <w:pStyle w:val="Compact"/>
        <w:numPr>
          <w:ilvl w:val="0"/>
          <w:numId w:val="1006"/>
        </w:numPr>
      </w:pPr>
      <w:r>
        <w:t xml:space="preserve">retrieved context</w:t>
      </w:r>
    </w:p>
    <w:p>
      <w:pPr>
        <w:pStyle w:val="Compact"/>
        <w:numPr>
          <w:ilvl w:val="0"/>
          <w:numId w:val="1006"/>
        </w:numPr>
      </w:pPr>
      <w:r>
        <w:t xml:space="preserve">processing notes</w:t>
      </w:r>
    </w:p>
    <w:p>
      <w:pPr>
        <w:pStyle w:val="FirstParagraph"/>
      </w:pPr>
      <w:r>
        <w:t xml:space="preserve">This is important because raw JSON is not a usable operational view.</w:t>
      </w:r>
    </w:p>
    <w:bookmarkEnd w:id="15"/>
    <w:bookmarkStart w:id="16" w:name="X124f51f60f0dbe088857c4c1ca2c88eba869f68"/>
    <w:p>
      <w:pPr>
        <w:pStyle w:val="Heading3"/>
      </w:pPr>
      <w:r>
        <w:t xml:space="preserve">Step 6: Surface request failures explicitly</w:t>
      </w:r>
    </w:p>
    <w:p>
      <w:pPr>
        <w:pStyle w:val="FirstParagraph"/>
      </w:pPr>
      <w:r>
        <w:t xml:space="preserve">If the request fails, the UI clears stale results and shows an error box. This</w:t>
      </w:r>
      <w:r>
        <w:t xml:space="preserve"> </w:t>
      </w:r>
      <w:r>
        <w:t xml:space="preserve">prevents the user from mistaking the last successful response for a fresh one.</w:t>
      </w:r>
    </w:p>
    <w:bookmarkEnd w:id="16"/>
    <w:bookmarkEnd w:id="17"/>
    <w:bookmarkStart w:id="18" w:name="diagram"/>
    <w:p>
      <w:pPr>
        <w:pStyle w:val="Heading2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Operator</w:t>
      </w:r>
      <w:r>
        <w:br/>
      </w:r>
      <w:r>
        <w:rPr>
          <w:rStyle w:val="VerbatimChar"/>
        </w:rPr>
        <w:t xml:space="preserve">    participant UI as React Console</w:t>
      </w:r>
      <w:r>
        <w:br/>
      </w:r>
      <w:r>
        <w:rPr>
          <w:rStyle w:val="VerbatimChar"/>
        </w:rPr>
        <w:t xml:space="preserve">    participant API as FastAPI</w:t>
      </w:r>
      <w:r>
        <w:br/>
      </w:r>
      <w:r>
        <w:br/>
      </w:r>
      <w:r>
        <w:rPr>
          <w:rStyle w:val="VerbatimChar"/>
        </w:rPr>
        <w:t xml:space="preserve">    Operator-&gt;&gt;UI: Pick workflow and provider</w:t>
      </w:r>
      <w:r>
        <w:br/>
      </w:r>
      <w:r>
        <w:rPr>
          <w:rStyle w:val="VerbatimChar"/>
        </w:rPr>
        <w:t xml:space="preserve">    Operator-&gt;&gt;UI: Paste or edit document text</w:t>
      </w:r>
      <w:r>
        <w:br/>
      </w:r>
      <w:r>
        <w:rPr>
          <w:rStyle w:val="VerbatimChar"/>
        </w:rPr>
        <w:t xml:space="preserve">    UI-&gt;&gt;API: POST /api/v1/workflows/{workflow_name}/run</w:t>
      </w:r>
      <w:r>
        <w:br/>
      </w:r>
      <w:r>
        <w:rPr>
          <w:rStyle w:val="VerbatimChar"/>
        </w:rPr>
        <w:t xml:space="preserve">    API--&gt;&gt;UI: WorkflowRunResponse or error</w:t>
      </w:r>
      <w:r>
        <w:br/>
      </w:r>
      <w:r>
        <w:rPr>
          <w:rStyle w:val="VerbatimChar"/>
        </w:rPr>
        <w:t xml:space="preserve">    UI--&gt;&gt;Operator: Show steps, summary, trace, audit ID, and notes</w:t>
      </w:r>
    </w:p>
    <w:bookmarkEnd w:id="18"/>
    <w:bookmarkStart w:id="19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The frontend should remain the fast demo layer, but the next customer-facing</w:t>
      </w:r>
      <w:r>
        <w:t xml:space="preserve"> </w:t>
      </w:r>
      <w:r>
        <w:t xml:space="preserve">improvement is to expose imported workflow packs and team labels from the local</w:t>
      </w:r>
      <w:r>
        <w:t xml:space="preserve"> </w:t>
      </w:r>
      <w:r>
        <w:t xml:space="preserve">Oracle finance and healthcare catalogs rather than only the two starter flows.</w:t>
      </w:r>
    </w:p>
    <w:bookmarkEnd w:id="19"/>
    <w:bookmarkStart w:id="20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7"/>
        </w:numPr>
      </w:pPr>
      <w:r>
        <w:t xml:space="preserve">an operator can exercise both workflows from one page</w:t>
      </w:r>
    </w:p>
    <w:p>
      <w:pPr>
        <w:pStyle w:val="Compact"/>
        <w:numPr>
          <w:ilvl w:val="0"/>
          <w:numId w:val="1007"/>
        </w:numPr>
      </w:pPr>
      <w:r>
        <w:t xml:space="preserve">provider selection is explicit</w:t>
      </w:r>
    </w:p>
    <w:p>
      <w:pPr>
        <w:pStyle w:val="Compact"/>
        <w:numPr>
          <w:ilvl w:val="0"/>
          <w:numId w:val="1007"/>
        </w:numPr>
      </w:pPr>
      <w:r>
        <w:t xml:space="preserve">request status is visible</w:t>
      </w:r>
    </w:p>
    <w:p>
      <w:pPr>
        <w:pStyle w:val="Compact"/>
        <w:numPr>
          <w:ilvl w:val="0"/>
          <w:numId w:val="1007"/>
        </w:numPr>
      </w:pPr>
      <w:r>
        <w:t xml:space="preserve">structured outputs are readable without inspecting raw JSON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Frontend Operator Console</dc:title>
  <dc:creator/>
  <cp:keywords/>
  <dcterms:created xsi:type="dcterms:W3CDTF">2026-04-29T22:56:02Z</dcterms:created>
  <dcterms:modified xsi:type="dcterms:W3CDTF">2026-04-29T22:56:02Z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