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6 Deployment Validation And Extension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f30b65966e3e0953a7b7f5de7dd63b17fc5868d"/>
    <w:p>
      <w:pPr>
        <w:pStyle w:val="Heading1"/>
      </w:pPr>
      <w:r>
        <w:t xml:space="preserve">Phase 6: Deployment, Validation, and Extension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Move the starter from source code into an executable local environment, verify</w:t>
      </w:r>
      <w:r>
        <w:t xml:space="preserve"> </w:t>
      </w:r>
      <w:r>
        <w:t xml:space="preserve">the baseline behavior, and define the next phases toward production readiness.</w:t>
      </w:r>
    </w:p>
    <w:bookmarkEnd w:id="9"/>
    <w:bookmarkStart w:id="10" w:name="code-anchors"/>
    <w:p>
      <w:pPr>
        <w:pStyle w:val="Heading2"/>
      </w:pPr>
      <w:r>
        <w:t xml:space="preserve">Code anchors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backend/Dockerfile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frontend/Dockerfile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infrastructure/terraform/oci/main.tf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infrastructure/kubernetes/deployment.yaml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tests/test_api.py</w:t>
      </w:r>
    </w:p>
    <w:bookmarkEnd w:id="10"/>
    <w:bookmarkStart w:id="17" w:name="detailed-steps"/>
    <w:p>
      <w:pPr>
        <w:pStyle w:val="Heading2"/>
      </w:pPr>
      <w:r>
        <w:t xml:space="preserve">Detailed steps</w:t>
      </w:r>
    </w:p>
    <w:bookmarkStart w:id="11" w:name="step-1-package-the-backend"/>
    <w:p>
      <w:pPr>
        <w:pStyle w:val="Heading3"/>
      </w:pPr>
      <w:r>
        <w:t xml:space="preserve">Step 1: Package the backend</w:t>
      </w:r>
    </w:p>
    <w:p>
      <w:pPr>
        <w:pStyle w:val="FirstParagraph"/>
      </w:pPr>
      <w:r>
        <w:t xml:space="preserve">The backend Docker image:</w:t>
      </w:r>
    </w:p>
    <w:p>
      <w:pPr>
        <w:pStyle w:val="Compact"/>
        <w:numPr>
          <w:ilvl w:val="0"/>
          <w:numId w:val="1002"/>
        </w:numPr>
      </w:pPr>
      <w:r>
        <w:t xml:space="preserve">starts from</w:t>
      </w:r>
      <w:r>
        <w:t xml:space="preserve"> </w:t>
      </w:r>
      <w:r>
        <w:rPr>
          <w:rStyle w:val="VerbatimChar"/>
        </w:rPr>
        <w:t xml:space="preserve">python:3.12-slim</w:t>
      </w:r>
    </w:p>
    <w:p>
      <w:pPr>
        <w:pStyle w:val="Compact"/>
        <w:numPr>
          <w:ilvl w:val="0"/>
          <w:numId w:val="1002"/>
        </w:numPr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backend/requirements.txt</w:t>
      </w:r>
    </w:p>
    <w:p>
      <w:pPr>
        <w:pStyle w:val="Compact"/>
        <w:numPr>
          <w:ilvl w:val="0"/>
          <w:numId w:val="1002"/>
        </w:numPr>
      </w:pPr>
      <w:r>
        <w:t xml:space="preserve">copies the FastAPI app</w:t>
      </w:r>
    </w:p>
    <w:p>
      <w:pPr>
        <w:pStyle w:val="Compact"/>
        <w:numPr>
          <w:ilvl w:val="0"/>
          <w:numId w:val="1002"/>
        </w:numPr>
      </w:pPr>
      <w:r>
        <w:t xml:space="preserve">launches Uvicorn on port</w:t>
      </w:r>
      <w:r>
        <w:t xml:space="preserve"> </w:t>
      </w:r>
      <w:r>
        <w:rPr>
          <w:rStyle w:val="VerbatimChar"/>
        </w:rPr>
        <w:t xml:space="preserve">8000</w:t>
      </w:r>
    </w:p>
    <w:bookmarkEnd w:id="11"/>
    <w:bookmarkStart w:id="12" w:name="step-2-package-the-frontend"/>
    <w:p>
      <w:pPr>
        <w:pStyle w:val="Heading3"/>
      </w:pPr>
      <w:r>
        <w:t xml:space="preserve">Step 2: Package the frontend</w:t>
      </w:r>
    </w:p>
    <w:p>
      <w:pPr>
        <w:pStyle w:val="FirstParagraph"/>
      </w:pPr>
      <w:r>
        <w:t xml:space="preserve">The frontend Docker image:</w:t>
      </w:r>
    </w:p>
    <w:p>
      <w:pPr>
        <w:pStyle w:val="Compact"/>
        <w:numPr>
          <w:ilvl w:val="0"/>
          <w:numId w:val="1003"/>
        </w:numPr>
      </w:pPr>
      <w:r>
        <w:t xml:space="preserve">starts from</w:t>
      </w:r>
      <w:r>
        <w:t xml:space="preserve"> </w:t>
      </w:r>
      <w:r>
        <w:rPr>
          <w:rStyle w:val="VerbatimChar"/>
        </w:rPr>
        <w:t xml:space="preserve">node:20-alpine</w:t>
      </w:r>
    </w:p>
    <w:p>
      <w:pPr>
        <w:pStyle w:val="Compact"/>
        <w:numPr>
          <w:ilvl w:val="0"/>
          <w:numId w:val="1003"/>
        </w:numPr>
      </w:pPr>
      <w:r>
        <w:t xml:space="preserve">installs npm dependencies</w:t>
      </w:r>
    </w:p>
    <w:p>
      <w:pPr>
        <w:pStyle w:val="Compact"/>
        <w:numPr>
          <w:ilvl w:val="0"/>
          <w:numId w:val="1003"/>
        </w:numPr>
      </w:pPr>
      <w:r>
        <w:t xml:space="preserve">builds the production bundle</w:t>
      </w:r>
    </w:p>
    <w:p>
      <w:pPr>
        <w:pStyle w:val="Compact"/>
        <w:numPr>
          <w:ilvl w:val="0"/>
          <w:numId w:val="1003"/>
        </w:numPr>
      </w:pPr>
      <w:r>
        <w:t xml:space="preserve">serves the preview app on port</w:t>
      </w:r>
      <w:r>
        <w:t xml:space="preserve"> </w:t>
      </w:r>
      <w:r>
        <w:rPr>
          <w:rStyle w:val="VerbatimChar"/>
        </w:rPr>
        <w:t xml:space="preserve">3000</w:t>
      </w:r>
    </w:p>
    <w:bookmarkEnd w:id="12"/>
    <w:bookmarkStart w:id="13" w:name="step-3-compose-the-local-runtime"/>
    <w:p>
      <w:pPr>
        <w:pStyle w:val="Heading3"/>
      </w:pPr>
      <w:r>
        <w:t xml:space="preserve">Step 3: Compose the local runtime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defines three services: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This creates a clean separation between the frontend experience, backend</w:t>
      </w:r>
      <w:r>
        <w:t xml:space="preserve"> </w:t>
      </w:r>
      <w:r>
        <w:t xml:space="preserve">processing path, and pilot database service while still being easy to start locally.</w:t>
      </w:r>
    </w:p>
    <w:bookmarkEnd w:id="13"/>
    <w:bookmarkStart w:id="14" w:name="step-4-validate-backend-behavior"/>
    <w:p>
      <w:pPr>
        <w:pStyle w:val="Heading3"/>
      </w:pPr>
      <w:r>
        <w:t xml:space="preserve">Step 4: Validate backend behavior</w:t>
      </w:r>
    </w:p>
    <w:p>
      <w:pPr>
        <w:pStyle w:val="FirstParagraph"/>
      </w:pPr>
      <w:r>
        <w:rPr>
          <w:rStyle w:val="VerbatimChar"/>
        </w:rPr>
        <w:t xml:space="preserve">tests/test_api.py</w:t>
      </w:r>
      <w:r>
        <w:t xml:space="preserve"> </w:t>
      </w:r>
      <w:r>
        <w:t xml:space="preserve">verifies:</w:t>
      </w:r>
    </w:p>
    <w:p>
      <w:pPr>
        <w:pStyle w:val="Compact"/>
        <w:numPr>
          <w:ilvl w:val="0"/>
          <w:numId w:val="1005"/>
        </w:numPr>
      </w:pPr>
      <w:r>
        <w:t xml:space="preserve">health endpoint availability</w:t>
      </w:r>
    </w:p>
    <w:p>
      <w:pPr>
        <w:pStyle w:val="Compact"/>
        <w:numPr>
          <w:ilvl w:val="0"/>
          <w:numId w:val="1005"/>
        </w:numPr>
      </w:pPr>
      <w:r>
        <w:t xml:space="preserve">invoice routing</w:t>
      </w:r>
    </w:p>
    <w:p>
      <w:pPr>
        <w:pStyle w:val="Compact"/>
        <w:numPr>
          <w:ilvl w:val="0"/>
          <w:numId w:val="1005"/>
        </w:numPr>
      </w:pPr>
      <w:r>
        <w:t xml:space="preserve">prior-authorization routing</w:t>
      </w:r>
    </w:p>
    <w:p>
      <w:pPr>
        <w:pStyle w:val="FirstParagraph"/>
      </w:pPr>
      <w:r>
        <w:t xml:space="preserve">These tests confirm the critical domain branches work before any UI or</w:t>
      </w:r>
      <w:r>
        <w:t xml:space="preserve"> </w:t>
      </w:r>
      <w:r>
        <w:t xml:space="preserve">deployment work is considered trustworthy.</w:t>
      </w:r>
    </w:p>
    <w:bookmarkEnd w:id="14"/>
    <w:bookmarkStart w:id="15" w:name="X339aedf18d0ba56cea3b6181e6eda2761840d5c"/>
    <w:p>
      <w:pPr>
        <w:pStyle w:val="Heading3"/>
      </w:pPr>
      <w:r>
        <w:t xml:space="preserve">Step 5: Maintain infrastructure placeholders</w:t>
      </w:r>
    </w:p>
    <w:p>
      <w:pPr>
        <w:pStyle w:val="FirstParagraph"/>
      </w:pPr>
      <w:r>
        <w:t xml:space="preserve">The infrastructure layer is intentionally a starter:</w:t>
      </w:r>
    </w:p>
    <w:p>
      <w:pPr>
        <w:pStyle w:val="Compact"/>
        <w:numPr>
          <w:ilvl w:val="0"/>
          <w:numId w:val="1006"/>
        </w:numPr>
      </w:pPr>
      <w:r>
        <w:t xml:space="preserve">OCI Terraform defines provider and common tags</w:t>
      </w:r>
    </w:p>
    <w:p>
      <w:pPr>
        <w:pStyle w:val="Compact"/>
        <w:numPr>
          <w:ilvl w:val="0"/>
          <w:numId w:val="1006"/>
        </w:numPr>
      </w:pPr>
      <w:r>
        <w:t xml:space="preserve">Kubernetes manifests define baseline deployments and services</w:t>
      </w:r>
    </w:p>
    <w:p>
      <w:pPr>
        <w:pStyle w:val="FirstParagraph"/>
      </w:pPr>
      <w:r>
        <w:t xml:space="preserve">This provides a documented path forward without pretending deployment</w:t>
      </w:r>
      <w:r>
        <w:t xml:space="preserve"> </w:t>
      </w:r>
      <w:r>
        <w:t xml:space="preserve">automation is production-complete.</w:t>
      </w:r>
    </w:p>
    <w:bookmarkEnd w:id="15"/>
    <w:bookmarkStart w:id="16" w:name="X001e296f3cc2c023b401b81650edb6321a9770d"/>
    <w:p>
      <w:pPr>
        <w:pStyle w:val="Heading3"/>
      </w:pPr>
      <w:r>
        <w:t xml:space="preserve">Step 6: Define the next implementation phases</w:t>
      </w:r>
    </w:p>
    <w:p>
      <w:pPr>
        <w:pStyle w:val="FirstParagraph"/>
      </w:pPr>
      <w:r>
        <w:t xml:space="preserve">Logical future phases after this starter are:</w:t>
      </w:r>
    </w:p>
    <w:p>
      <w:pPr>
        <w:pStyle w:val="Compact"/>
        <w:numPr>
          <w:ilvl w:val="0"/>
          <w:numId w:val="1007"/>
        </w:numPr>
      </w:pPr>
      <w:r>
        <w:t xml:space="preserve">OCR and document ingestion</w:t>
      </w:r>
    </w:p>
    <w:p>
      <w:pPr>
        <w:pStyle w:val="Compact"/>
        <w:numPr>
          <w:ilvl w:val="0"/>
          <w:numId w:val="1007"/>
        </w:numPr>
      </w:pPr>
      <w:r>
        <w:t xml:space="preserve">persistence and audit history</w:t>
      </w:r>
    </w:p>
    <w:p>
      <w:pPr>
        <w:pStyle w:val="Compact"/>
        <w:numPr>
          <w:ilvl w:val="0"/>
          <w:numId w:val="1007"/>
        </w:numPr>
      </w:pPr>
      <w:r>
        <w:t xml:space="preserve">authentication and role-based access</w:t>
      </w:r>
    </w:p>
    <w:p>
      <w:pPr>
        <w:pStyle w:val="Compact"/>
        <w:numPr>
          <w:ilvl w:val="0"/>
          <w:numId w:val="1007"/>
        </w:numPr>
      </w:pPr>
      <w:r>
        <w:t xml:space="preserve">queue-driven orchestration</w:t>
      </w:r>
    </w:p>
    <w:p>
      <w:pPr>
        <w:pStyle w:val="Compact"/>
        <w:numPr>
          <w:ilvl w:val="0"/>
          <w:numId w:val="1007"/>
        </w:numPr>
      </w:pPr>
      <w:r>
        <w:t xml:space="preserve">real vector retrieval</w:t>
      </w:r>
    </w:p>
    <w:p>
      <w:pPr>
        <w:pStyle w:val="Compact"/>
        <w:numPr>
          <w:ilvl w:val="0"/>
          <w:numId w:val="1007"/>
        </w:numPr>
      </w:pPr>
      <w:r>
        <w:t xml:space="preserve">production OCI deployment hardening</w:t>
      </w:r>
    </w:p>
    <w:bookmarkEnd w:id="16"/>
    <w:bookmarkEnd w:id="17"/>
    <w:bookmarkStart w:id="18" w:name="diagram"/>
    <w:p>
      <w:pPr>
        <w:pStyle w:val="Heading2"/>
      </w:pPr>
      <w:r>
        <w:t xml:space="preserve">Diagram</w:t>
      </w:r>
    </w:p>
    <w:bookmarkEnd w:id="18"/>
    <w:bookmarkStart w:id="19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Deployment guidance is now better framed as a staged progression:</w:t>
      </w:r>
    </w:p>
    <w:p>
      <w:pPr>
        <w:pStyle w:val="Compact"/>
        <w:numPr>
          <w:ilvl w:val="0"/>
          <w:numId w:val="1008"/>
        </w:numPr>
      </w:pPr>
      <w:r>
        <w:t xml:space="preserve">current local Docker demo</w:t>
      </w:r>
    </w:p>
    <w:p>
      <w:pPr>
        <w:pStyle w:val="Compact"/>
        <w:numPr>
          <w:ilvl w:val="0"/>
          <w:numId w:val="1008"/>
        </w:numPr>
      </w:pPr>
      <w:r>
        <w:t xml:space="preserve">OCI Enterprise AI or Oracle Fusion-connected pilot environment</w:t>
      </w:r>
    </w:p>
    <w:p>
      <w:pPr>
        <w:pStyle w:val="Compact"/>
        <w:numPr>
          <w:ilvl w:val="0"/>
          <w:numId w:val="1008"/>
        </w:numPr>
      </w:pPr>
      <w:r>
        <w:t xml:space="preserve">shared MCP services from</w:t>
      </w:r>
      <w:r>
        <w:t xml:space="preserve"> </w:t>
      </w:r>
      <w:r>
        <w:rPr>
          <w:rStyle w:val="VerbatimChar"/>
        </w:rPr>
        <w:t xml:space="preserve">MCPPlatform</w:t>
      </w:r>
    </w:p>
    <w:p>
      <w:pPr>
        <w:pStyle w:val="Compact"/>
        <w:numPr>
          <w:ilvl w:val="0"/>
          <w:numId w:val="1008"/>
        </w:numPr>
      </w:pPr>
      <w:r>
        <w:t xml:space="preserve">hardened gateway, approvals, and durable audit from</w:t>
      </w:r>
      <w:r>
        <w:t xml:space="preserve"> </w:t>
      </w:r>
      <w:r>
        <w:rPr>
          <w:rStyle w:val="VerbatimChar"/>
        </w:rPr>
        <w:t xml:space="preserve">MCPEngine</w:t>
      </w:r>
    </w:p>
    <w:p>
      <w:pPr>
        <w:pStyle w:val="Compact"/>
        <w:numPr>
          <w:ilvl w:val="0"/>
          <w:numId w:val="1008"/>
        </w:numPr>
      </w:pPr>
      <w:r>
        <w:t xml:space="preserve">production OCI deployment with real Oracle integrations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A["Source repository"] --&gt; B["Backend Docker image"]</w:t>
      </w:r>
      <w:r>
        <w:br/>
      </w:r>
      <w:r>
        <w:rPr>
          <w:rStyle w:val="VerbatimChar"/>
        </w:rPr>
        <w:t xml:space="preserve">    A --&gt; C["Frontend Docker image"]</w:t>
      </w:r>
      <w:r>
        <w:br/>
      </w:r>
      <w:r>
        <w:rPr>
          <w:rStyle w:val="VerbatimChar"/>
        </w:rPr>
        <w:t xml:space="preserve">    A --&gt; H["Database service"]</w:t>
      </w:r>
      <w:r>
        <w:br/>
      </w:r>
      <w:r>
        <w:rPr>
          <w:rStyle w:val="VerbatimChar"/>
        </w:rPr>
        <w:t xml:space="preserve">    B --&gt; D["Docker Compose backend service"]</w:t>
      </w:r>
      <w:r>
        <w:br/>
      </w:r>
      <w:r>
        <w:rPr>
          <w:rStyle w:val="VerbatimChar"/>
        </w:rPr>
        <w:t xml:space="preserve">    C --&gt; E["Docker Compose frontend service"]</w:t>
      </w:r>
      <w:r>
        <w:br/>
      </w:r>
      <w:r>
        <w:rPr>
          <w:rStyle w:val="VerbatimChar"/>
        </w:rPr>
        <w:t xml:space="preserve">    D --&gt; F["Backend tests"]</w:t>
      </w:r>
      <w:r>
        <w:br/>
      </w:r>
      <w:r>
        <w:rPr>
          <w:rStyle w:val="VerbatimChar"/>
        </w:rPr>
        <w:t xml:space="preserve">    A --&gt; G["OCI Terraform starter"]</w:t>
      </w:r>
      <w:r>
        <w:br/>
      </w:r>
      <w:r>
        <w:rPr>
          <w:rStyle w:val="VerbatimChar"/>
        </w:rPr>
        <w:t xml:space="preserve">    A --&gt; I["Kubernetes starter"]</w:t>
      </w:r>
      <w:r>
        <w:br/>
      </w:r>
      <w:r>
        <w:rPr>
          <w:rStyle w:val="VerbatimChar"/>
        </w:rPr>
        <w:t xml:space="preserve">    F --&gt; I["Validated local baseline"]</w:t>
      </w:r>
    </w:p>
    <w:bookmarkEnd w:id="19"/>
    <w:bookmarkStart w:id="20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9"/>
        </w:numPr>
      </w:pPr>
      <w:r>
        <w:t xml:space="preserve">local containers can be built and started</w:t>
      </w:r>
    </w:p>
    <w:p>
      <w:pPr>
        <w:pStyle w:val="Compact"/>
        <w:numPr>
          <w:ilvl w:val="0"/>
          <w:numId w:val="1009"/>
        </w:numPr>
      </w:pPr>
      <w:r>
        <w:t xml:space="preserve">core API tests pass</w:t>
      </w:r>
    </w:p>
    <w:p>
      <w:pPr>
        <w:pStyle w:val="Compact"/>
        <w:numPr>
          <w:ilvl w:val="0"/>
          <w:numId w:val="1009"/>
        </w:numPr>
      </w:pPr>
      <w:r>
        <w:t xml:space="preserve">deployment starter assets exist</w:t>
      </w:r>
    </w:p>
    <w:p>
      <w:pPr>
        <w:pStyle w:val="Compact"/>
        <w:numPr>
          <w:ilvl w:val="0"/>
          <w:numId w:val="1009"/>
        </w:numPr>
      </w:pPr>
      <w:r>
        <w:t xml:space="preserve">future hardening phases are documented explicitly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 Deployment Validation And Extension</dc:title>
  <dc:creator/>
  <cp:keywords/>
  <dcterms:created xsi:type="dcterms:W3CDTF">2026-04-29T22:56:03Z</dcterms:created>
  <dcterms:modified xsi:type="dcterms:W3CDTF">2026-04-29T22:56:03Z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