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repository-structure-guide"/>
    <w:p>
      <w:pPr>
        <w:pStyle w:val="Heading1"/>
      </w:pPr>
      <w:r>
        <w:t xml:space="preserve">Repository Structure Guide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0.4.1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2026-04-30</w:t>
      </w:r>
    </w:p>
    <w:p>
      <w:pPr>
        <w:pStyle w:val="BodyText"/>
      </w:pPr>
      <w:r>
        <w:t xml:space="preserve">This document explains the current</w:t>
      </w:r>
      <w:r>
        <w:t xml:space="preserve"> </w:t>
      </w:r>
      <w:r>
        <w:rPr>
          <w:rStyle w:val="VerbatimChar"/>
        </w:rPr>
        <w:t xml:space="preserve">HybridAIAutomation</w:t>
      </w:r>
      <w:r>
        <w:t xml:space="preserve"> </w:t>
      </w:r>
      <w:r>
        <w:t xml:space="preserve">repository layout and</w:t>
      </w:r>
      <w:r>
        <w:t xml:space="preserve"> </w:t>
      </w:r>
      <w:r>
        <w:t xml:space="preserve">what each major directory is responsible for.</w:t>
      </w:r>
    </w:p>
    <w:bookmarkStart w:id="9" w:name="top-level-layout"/>
    <w:p>
      <w:pPr>
        <w:pStyle w:val="Heading2"/>
      </w:pPr>
      <w:r>
        <w:t xml:space="preserve">Top-level 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FastAPI service, domain agents, orchestration, auth, audit,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React and Vite operator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architecture, delivery, workflow, and phase-level implementation guides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</w:t>
            </w:r>
          </w:p>
        </w:tc>
        <w:tc>
          <w:tcPr/>
          <w:p>
            <w:pPr>
              <w:pStyle w:val="Compact"/>
            </w:pPr>
            <w:r>
              <w:t xml:space="preserve">OCI Terraform starter and Kubernetes starter manifests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setup, example requests, and markdown export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backend API smoke and integration-style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workflows/</w:t>
            </w:r>
          </w:p>
        </w:tc>
        <w:tc>
          <w:tcPr/>
          <w:p>
            <w:pPr>
              <w:pStyle w:val="Compact"/>
            </w:pPr>
            <w:r>
              <w:t xml:space="preserve">business workflow definitions for invoice and prior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local runtime data such as audit events and credential storage</w:t>
            </w:r>
          </w:p>
        </w:tc>
      </w:tr>
    </w:tbl>
    <w:bookmarkEnd w:id="9"/>
    <w:bookmarkStart w:id="10" w:name="backend-structure"/>
    <w:p>
      <w:pPr>
        <w:pStyle w:val="Heading2"/>
      </w:pPr>
      <w:r>
        <w:t xml:space="preserve">Backend structure</w:t>
      </w:r>
    </w:p>
    <w:p>
      <w:pPr>
        <w:pStyle w:val="FirstParagraph"/>
      </w:pPr>
      <w:r>
        <w:t xml:space="preserve">The backend is organized by responsibility rather than by framework layer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backend/app/main.py</w:t>
            </w:r>
          </w:p>
        </w:tc>
        <w:tc>
          <w:tcPr/>
          <w:p>
            <w:pPr>
              <w:pStyle w:val="Compact"/>
            </w:pPr>
            <w:r>
              <w:t xml:space="preserve">FastAPI app bootstrap, router registration, CORS, health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</w:t>
            </w:r>
          </w:p>
        </w:tc>
        <w:tc>
          <w:tcPr/>
          <w:p>
            <w:pPr>
              <w:pStyle w:val="Compact"/>
            </w:pPr>
            <w:r>
              <w:t xml:space="preserve">HTTP route surface for agents, workflows, auth, audit, protocols, and studio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backend/app/agents/</w:t>
            </w:r>
          </w:p>
        </w:tc>
        <w:tc>
          <w:tcPr/>
          <w:p>
            <w:pPr>
              <w:pStyle w:val="Compact"/>
            </w:pPr>
            <w:r>
              <w:t xml:space="preserve">business-specific agent logic for invoice and prior authorization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backend/app/orchestration/</w:t>
            </w:r>
          </w:p>
        </w:tc>
        <w:tc>
          <w:tcPr/>
          <w:p>
            <w:pPr>
              <w:pStyle w:val="Compact"/>
            </w:pPr>
            <w:r>
              <w:t xml:space="preserve">request routing and multi-agent team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backend/app/workflows/</w:t>
            </w:r>
          </w:p>
        </w:tc>
        <w:tc>
          <w:tcPr/>
          <w:p>
            <w:pPr>
              <w:pStyle w:val="Compact"/>
            </w:pPr>
            <w:r>
              <w:t xml:space="preserve">workflow registry and execution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backend/app/core/</w:t>
            </w:r>
          </w:p>
        </w:tc>
        <w:tc>
          <w:tcPr/>
          <w:p>
            <w:pPr>
              <w:pStyle w:val="Compact"/>
            </w:pPr>
            <w:r>
              <w:t xml:space="preserve">configuration, schemas, and security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backend/app/audit/</w:t>
            </w:r>
          </w:p>
        </w:tc>
        <w:tc>
          <w:tcPr/>
          <w:p>
            <w:pPr>
              <w:pStyle w:val="Compact"/>
            </w:pPr>
            <w:r>
              <w:t xml:space="preserve">audit event persistence and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backend/app/integrations/</w:t>
            </w:r>
          </w:p>
        </w:tc>
        <w:tc>
          <w:tcPr/>
          <w:p>
            <w:pPr>
              <w:pStyle w:val="Compact"/>
            </w:pPr>
            <w:r>
              <w:t xml:space="preserve">mocked Oracle ERP and Oracle Health handoff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backend/app/ai/</w:t>
            </w:r>
          </w:p>
        </w:tc>
        <w:tc>
          <w:tcPr/>
          <w:p>
            <w:pPr>
              <w:pStyle w:val="Compact"/>
            </w:pPr>
            <w:r>
              <w:t xml:space="preserve">optional OpenAI and OCI AI client wrappers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backend/app/protocols/</w:t>
            </w:r>
          </w:p>
        </w:tc>
        <w:tc>
          <w:tcPr/>
          <w:p>
            <w:pPr>
              <w:pStyle w:val="Compact"/>
            </w:pPr>
            <w:r>
              <w:t xml:space="preserve">MCP and A2A protocol metadata and runtime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backend/app/studio/</w:t>
            </w:r>
          </w:p>
        </w:tc>
        <w:tc>
          <w:tcPr/>
          <w:p>
            <w:pPr>
              <w:pStyle w:val="Compact"/>
            </w:pPr>
            <w:r>
              <w:t xml:space="preserve">blueprint composition, credential registry, monitoring, and marketplace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backend/app/rag/</w:t>
            </w:r>
          </w:p>
        </w:tc>
        <w:tc>
          <w:tcPr/>
          <w:p>
            <w:pPr>
              <w:pStyle w:val="Compact"/>
            </w:pPr>
            <w:r>
              <w:t xml:space="preserve">deterministic retrieval helpers for domain context</w:t>
            </w:r>
          </w:p>
        </w:tc>
      </w:tr>
    </w:tbl>
    <w:bookmarkEnd w:id="10"/>
    <w:bookmarkStart w:id="11" w:name="frontend-structure"/>
    <w:p>
      <w:pPr>
        <w:pStyle w:val="Heading2"/>
      </w:pPr>
      <w:r>
        <w:t xml:space="preserve">Frontend structure</w:t>
      </w:r>
    </w:p>
    <w:p>
      <w:pPr>
        <w:pStyle w:val="FirstParagraph"/>
      </w:pPr>
      <w:r>
        <w:t xml:space="preserve">The frontend is intentionally small and starter-oriented.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frontend/src/App.tsx</w:t>
            </w:r>
          </w:p>
        </w:tc>
        <w:tc>
          <w:tcPr/>
          <w:p>
            <w:pPr>
              <w:pStyle w:val="Compact"/>
            </w:pPr>
            <w:r>
              <w:t xml:space="preserve">main operator console and studio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frontend/src/styles.css</w:t>
            </w:r>
          </w:p>
        </w:tc>
        <w:tc>
          <w:tcPr/>
          <w:p>
            <w:pPr>
              <w:pStyle w:val="Compact"/>
            </w:pPr>
            <w:r>
              <w:t xml:space="preserve">page styling and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frontend/src/main.tsx</w:t>
            </w:r>
          </w:p>
        </w:tc>
        <w:tc>
          <w:tcPr/>
          <w:p>
            <w:pPr>
              <w:pStyle w:val="Compact"/>
            </w:pPr>
            <w:r>
              <w:t xml:space="preserve">React 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frontend/package.json</w:t>
            </w:r>
          </w:p>
        </w:tc>
        <w:tc>
          <w:tcPr/>
          <w:p>
            <w:pPr>
              <w:pStyle w:val="Compact"/>
            </w:pPr>
            <w:r>
              <w:t xml:space="preserve">frontend scripts and dependency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frontend/Dockerfile</w:t>
            </w:r>
          </w:p>
        </w:tc>
        <w:tc>
          <w:tcPr/>
          <w:p>
            <w:pPr>
              <w:pStyle w:val="Compact"/>
            </w:pPr>
            <w:r>
              <w:t xml:space="preserve">reproducible frontend container build</w:t>
            </w:r>
          </w:p>
        </w:tc>
      </w:tr>
    </w:tbl>
    <w:bookmarkEnd w:id="11"/>
    <w:bookmarkStart w:id="12" w:name="infrastructure-structure"/>
    <w:p>
      <w:pPr>
        <w:pStyle w:val="Heading2"/>
      </w:pPr>
      <w:r>
        <w:t xml:space="preserve">Infrastructure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local stack with frontend, backend, and pgvector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t xml:space="preserve">backend image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frontend/Dockerfile</w:t>
            </w:r>
          </w:p>
        </w:tc>
        <w:tc>
          <w:tcPr/>
          <w:p>
            <w:pPr>
              <w:pStyle w:val="Compact"/>
            </w:pPr>
            <w:r>
              <w:t xml:space="preserve">frontend image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infrastructure/terraform/oci/main.tf</w:t>
            </w:r>
          </w:p>
        </w:tc>
        <w:tc>
          <w:tcPr/>
          <w:p>
            <w:pPr>
              <w:pStyle w:val="Compact"/>
            </w:pPr>
            <w:r>
              <w:t xml:space="preserve">OCI starter infrastructure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infrastructure/kubernetes/deployment.yaml</w:t>
            </w:r>
          </w:p>
        </w:tc>
        <w:tc>
          <w:tcPr/>
          <w:p>
            <w:pPr>
              <w:pStyle w:val="Compact"/>
            </w:pPr>
            <w:r>
              <w:t xml:space="preserve">Kubernetes and OKE deployment starter</w:t>
            </w:r>
          </w:p>
        </w:tc>
      </w:tr>
    </w:tbl>
    <w:bookmarkEnd w:id="12"/>
    <w:bookmarkStart w:id="13" w:name="documentation-structure"/>
    <w:p>
      <w:pPr>
        <w:pStyle w:val="Heading2"/>
      </w:pPr>
      <w:r>
        <w:t xml:space="preserve">Documentation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docs/README.md</w:t>
            </w:r>
          </w:p>
        </w:tc>
        <w:tc>
          <w:tcPr/>
          <w:p>
            <w:pPr>
              <w:pStyle w:val="Compact"/>
            </w:pPr>
            <w:r>
              <w:t xml:space="preserve">documentation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tcPr/>
          <w:p>
            <w:pPr>
              <w:pStyle w:val="Compact"/>
            </w:pPr>
            <w:r>
              <w:t xml:space="preserve">architecture overview and runtime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docs/phases/</w:t>
            </w:r>
          </w:p>
        </w:tc>
        <w:tc>
          <w:tcPr/>
          <w:p>
            <w:pPr>
              <w:pStyle w:val="Compact"/>
            </w:pPr>
            <w:r>
              <w:t xml:space="preserve">phase-by-phase implementation and deployment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docs/workflows/</w:t>
            </w:r>
          </w:p>
        </w:tc>
        <w:tc>
          <w:tcPr/>
          <w:p>
            <w:pPr>
              <w:pStyle w:val="Compact"/>
            </w:pPr>
            <w:r>
              <w:t xml:space="preserve">business workflow walkthroughs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docs/customer-poc-playbook.md</w:t>
            </w:r>
          </w:p>
        </w:tc>
        <w:tc>
          <w:tcPr/>
          <w:p>
            <w:pPr>
              <w:pStyle w:val="Compact"/>
            </w:pPr>
            <w:r>
              <w:t xml:space="preserve">customer pilot and expansion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docs/repository-structure.md</w:t>
            </w:r>
          </w:p>
        </w:tc>
        <w:tc>
          <w:tcPr/>
          <w:p>
            <w:pPr>
              <w:pStyle w:val="Compact"/>
            </w:pPr>
            <w:r>
              <w:t xml:space="preserve">this repository structure guide</w:t>
            </w:r>
          </w:p>
        </w:tc>
      </w:tr>
    </w:tbl>
    <w:bookmarkEnd w:id="13"/>
    <w:bookmarkStart w:id="14" w:name="development-and-verification-structure"/>
    <w:p>
      <w:pPr>
        <w:pStyle w:val="Heading2"/>
      </w:pPr>
      <w:r>
        <w:t xml:space="preserve">Development and verification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local developer commands for test, build, docker, and doc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scripts/verify_local.sh</w:t>
            </w:r>
          </w:p>
        </w:tc>
        <w:tc>
          <w:tcPr/>
          <w:p>
            <w:pPr>
              <w:pStyle w:val="Compact"/>
            </w:pPr>
            <w:r>
              <w:t xml:space="preserve">shell-based verification path for test, frontend build, and Docker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tests/test_api.py</w:t>
            </w:r>
          </w:p>
        </w:tc>
        <w:tc>
          <w:tcPr/>
          <w:p>
            <w:pPr>
              <w:pStyle w:val="Compact"/>
            </w:pPr>
            <w:r>
              <w:t xml:space="preserve">API smoke tests for auth, workflow, audit, studio, and protocol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tests/conftest.py</w:t>
            </w:r>
          </w:p>
        </w:tc>
        <w:tc>
          <w:tcPr/>
          <w:p>
            <w:pPr>
              <w:pStyle w:val="Compact"/>
            </w:pPr>
            <w:r>
              <w:t xml:space="preserve">test import bootstrap for stable local and CI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GitHub Actions pipeline for backend tests, frontend build, and Docker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root Docker build-context hygiene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frontend/.dockerignore</w:t>
            </w:r>
          </w:p>
        </w:tc>
        <w:tc>
          <w:tcPr/>
          <w:p>
            <w:pPr>
              <w:pStyle w:val="Compact"/>
            </w:pPr>
            <w:r>
              <w:t xml:space="preserve">frontend build-context hygiene</w:t>
            </w:r>
          </w:p>
        </w:tc>
      </w:tr>
    </w:tbl>
    <w:bookmarkEnd w:id="14"/>
    <w:bookmarkStart w:id="15" w:name="expected-local-workflow"/>
    <w:p>
      <w:pPr>
        <w:pStyle w:val="Heading2"/>
      </w:pPr>
      <w:r>
        <w:t xml:space="preserve">Expected local workflow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for backend API verification.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frontend-build</w:t>
      </w:r>
      <w:r>
        <w:t xml:space="preserve"> </w:t>
      </w:r>
      <w:r>
        <w:t xml:space="preserve">for frontend verification.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compose-config</w:t>
      </w:r>
      <w:r>
        <w:t xml:space="preserve"> </w:t>
      </w:r>
      <w:r>
        <w:t xml:space="preserve">to validate the container stack contract.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docker-build</w:t>
      </w:r>
      <w:r>
        <w:t xml:space="preserve"> </w:t>
      </w:r>
      <w:r>
        <w:t xml:space="preserve">when validating image builds.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bash scripts/verify_local.sh</w:t>
      </w:r>
      <w:r>
        <w:t xml:space="preserve"> </w:t>
      </w:r>
      <w:r>
        <w:t xml:space="preserve">when a shell-based verification path is preferred.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export-docs</w:t>
      </w:r>
      <w:r>
        <w:t xml:space="preserve"> </w:t>
      </w:r>
      <w:r>
        <w:t xml:space="preserve">after updating markdown documentation and when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artifacts are needed.</w:t>
      </w:r>
    </w:p>
    <w:bookmarkEnd w:id="15"/>
    <w:bookmarkStart w:id="16" w:name="current-design-intent"/>
    <w:p>
      <w:pPr>
        <w:pStyle w:val="Heading2"/>
      </w:pPr>
      <w:r>
        <w:t xml:space="preserve">Current design intent</w:t>
      </w:r>
    </w:p>
    <w:p>
      <w:pPr>
        <w:pStyle w:val="FirstParagraph"/>
      </w:pPr>
      <w:r>
        <w:t xml:space="preserve">This repo is a lightweight demo and POC shell, not yet a full enterprise</w:t>
      </w:r>
      <w:r>
        <w:t xml:space="preserve"> </w:t>
      </w:r>
      <w:r>
        <w:t xml:space="preserve">platform. It is designed to stay small at the app layer while progressively</w:t>
      </w:r>
      <w:r>
        <w:t xml:space="preserve"> </w:t>
      </w:r>
      <w:r>
        <w:t xml:space="preserve">reusing richer shared capabilities from the local</w:t>
      </w:r>
      <w:r>
        <w:t xml:space="preserve"> </w:t>
      </w:r>
      <w:r>
        <w:rPr>
          <w:rStyle w:val="VerbatimChar"/>
        </w:rPr>
        <w:t xml:space="preserve">AIAgents</w:t>
      </w:r>
      <w:r>
        <w:t xml:space="preserve"> </w:t>
      </w:r>
      <w:r>
        <w:t xml:space="preserve">portfolio for MCP,</w:t>
      </w:r>
      <w:r>
        <w:t xml:space="preserve"> </w:t>
      </w:r>
      <w:r>
        <w:t xml:space="preserve">workflow packs, Oracle adapters, and stronger control-plane behavior.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2026-04-30T21:31:00Z</dcterms:created>
  <dcterms:modified xsi:type="dcterms:W3CDTF">2026-04-30T21:31:00Z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