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Prior Authorization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prior-authorization-workflow-guide"/>
    <w:p>
      <w:pPr>
        <w:pStyle w:val="Heading1"/>
      </w:pPr>
      <w:r>
        <w:t xml:space="preserve">Prior Authorization Workflow Guide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2026-04-29</w:t>
      </w:r>
    </w:p>
    <w:bookmarkStart w:id="9" w:name="workflow-source"/>
    <w:p>
      <w:pPr>
        <w:pStyle w:val="Heading2"/>
      </w:pPr>
      <w:r>
        <w:t xml:space="preserve">Workflow source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workflows/prior_authorization.yaml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backend/app/agents/prior_auth_agent.py</w:t>
      </w:r>
    </w:p>
    <w:bookmarkEnd w:id="9"/>
    <w:bookmarkStart w:id="10" w:name="workflow-objective"/>
    <w:p>
      <w:pPr>
        <w:pStyle w:val="Heading2"/>
      </w:pPr>
      <w:r>
        <w:t xml:space="preserve">Workflow objective</w:t>
      </w:r>
    </w:p>
    <w:p>
      <w:pPr>
        <w:pStyle w:val="FirstParagraph"/>
      </w:pPr>
      <w:r>
        <w:t xml:space="preserve">Process a prior-authorization request, extract member and clinical details, and</w:t>
      </w:r>
      <w:r>
        <w:t xml:space="preserve"> </w:t>
      </w:r>
      <w:r>
        <w:t xml:space="preserve">determine whether the case should remain in standard utilization review or be</w:t>
      </w:r>
      <w:r>
        <w:t xml:space="preserve"> </w:t>
      </w:r>
      <w:r>
        <w:t xml:space="preserve">escalated to medical review.</w:t>
      </w:r>
    </w:p>
    <w:bookmarkEnd w:id="10"/>
    <w:bookmarkStart w:id="11" w:name="phase-map"/>
    <w:p>
      <w:pPr>
        <w:pStyle w:val="Heading2"/>
      </w:pPr>
      <w:r>
        <w:t xml:space="preserve">Phase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Step ID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Runtime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receive_request</w:t>
            </w:r>
          </w:p>
        </w:tc>
        <w:tc>
          <w:tcPr/>
          <w:p>
            <w:pPr>
              <w:pStyle w:val="Compact"/>
            </w:pPr>
            <w:r>
              <w:t xml:space="preserve">Accept request text from the UI or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run_agent</w:t>
            </w:r>
          </w:p>
        </w:tc>
        <w:tc>
          <w:tcPr/>
          <w:p>
            <w:pPr>
              <w:pStyle w:val="Compact"/>
            </w:pPr>
            <w:r>
              <w:t xml:space="preserve">Use the prior-auth agent to parse the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eligibility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verify_member_eligibility</w:t>
            </w:r>
          </w:p>
        </w:tc>
        <w:tc>
          <w:tcPr/>
          <w:p>
            <w:pPr>
              <w:pStyle w:val="Compact"/>
            </w:pPr>
            <w:r>
              <w:t xml:space="preserve">Confirm the presence of key member and payer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medical_review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conditional_escalation</w:t>
            </w:r>
          </w:p>
        </w:tc>
        <w:tc>
          <w:tcPr/>
          <w:p>
            <w:pPr>
              <w:pStyle w:val="Compact"/>
            </w:pPr>
            <w:r>
              <w:t xml:space="preserve">Escalate higher-acuity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utilization_review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route_to_queue</w:t>
            </w:r>
          </w:p>
        </w:tc>
        <w:tc>
          <w:tcPr/>
          <w:p>
            <w:pPr>
              <w:pStyle w:val="Compact"/>
            </w:pPr>
            <w:r>
              <w:t xml:space="preserve">Route standard cases for utilization review</w:t>
            </w:r>
          </w:p>
        </w:tc>
      </w:tr>
    </w:tbl>
    <w:bookmarkEnd w:id="11"/>
    <w:bookmarkStart w:id="12" w:name="end-to-end-diagram"/>
    <w:p>
      <w:pPr>
        <w:pStyle w:val="Heading2"/>
      </w:pPr>
      <w:r>
        <w:t xml:space="preserve">End-to-end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A["Prior authorization request text"] --&gt; B["Phase 1: intake"]</w:t>
      </w:r>
      <w:r>
        <w:br/>
      </w:r>
      <w:r>
        <w:rPr>
          <w:rStyle w:val="VerbatimChar"/>
        </w:rPr>
        <w:t xml:space="preserve">    B --&gt; C["Phase 2: extract with PriorAuthAgent"]</w:t>
      </w:r>
      <w:r>
        <w:br/>
      </w:r>
      <w:r>
        <w:rPr>
          <w:rStyle w:val="VerbatimChar"/>
        </w:rPr>
        <w:t xml:space="preserve">    C --&gt; D["Extract patient, member, payer, diagnosis, procedure, provider"]</w:t>
      </w:r>
      <w:r>
        <w:br/>
      </w:r>
      <w:r>
        <w:rPr>
          <w:rStyle w:val="VerbatimChar"/>
        </w:rPr>
        <w:t xml:space="preserve">    D --&gt; E["Phase 3: eligibility and completeness review"]</w:t>
      </w:r>
      <w:r>
        <w:br/>
      </w:r>
      <w:r>
        <w:rPr>
          <w:rStyle w:val="VerbatimChar"/>
        </w:rPr>
        <w:t xml:space="preserve">    E --&gt; F{"High-acuity keywords present?"}</w:t>
      </w:r>
      <w:r>
        <w:br/>
      </w:r>
      <w:r>
        <w:rPr>
          <w:rStyle w:val="VerbatimChar"/>
        </w:rPr>
        <w:t xml:space="preserve">    F --&gt;|"Yes"| G["Phase 4: escalate to healthcare.medical_review"]</w:t>
      </w:r>
      <w:r>
        <w:br/>
      </w:r>
      <w:r>
        <w:rPr>
          <w:rStyle w:val="VerbatimChar"/>
        </w:rPr>
        <w:t xml:space="preserve">    F --&gt;|"No"| H["Phase 5: route to healthcare.utilization_review"]</w:t>
      </w:r>
      <w:r>
        <w:br/>
      </w:r>
      <w:r>
        <w:rPr>
          <w:rStyle w:val="VerbatimChar"/>
        </w:rPr>
        <w:t xml:space="preserve">    G --&gt; I["Return summary, actions, confidence"]</w:t>
      </w:r>
      <w:r>
        <w:br/>
      </w:r>
      <w:r>
        <w:rPr>
          <w:rStyle w:val="VerbatimChar"/>
        </w:rPr>
        <w:t xml:space="preserve">    H --&gt; I</w:t>
      </w:r>
    </w:p>
    <w:bookmarkEnd w:id="12"/>
    <w:bookmarkStart w:id="18" w:name="detailed-phases-and-steps"/>
    <w:p>
      <w:pPr>
        <w:pStyle w:val="Heading2"/>
      </w:pPr>
      <w:r>
        <w:t xml:space="preserve">Detailed phases and steps</w:t>
      </w:r>
    </w:p>
    <w:bookmarkStart w:id="13" w:name="phase-1-intake"/>
    <w:p>
      <w:pPr>
        <w:pStyle w:val="Heading3"/>
      </w:pPr>
      <w:r>
        <w:t xml:space="preserve">Phase 1: Intake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2"/>
        </w:numPr>
      </w:pPr>
      <w:r>
        <w:t xml:space="preserve">receive the authorization request text in a format ready for parsing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3"/>
        </w:numPr>
      </w:pPr>
      <w:r>
        <w:t xml:space="preserve">copied request notes</w:t>
      </w:r>
    </w:p>
    <w:p>
      <w:pPr>
        <w:pStyle w:val="Compact"/>
        <w:numPr>
          <w:ilvl w:val="0"/>
          <w:numId w:val="1003"/>
        </w:numPr>
      </w:pPr>
      <w:r>
        <w:t xml:space="preserve">structured text converted from forms</w:t>
      </w:r>
    </w:p>
    <w:p>
      <w:pPr>
        <w:pStyle w:val="Compact"/>
        <w:numPr>
          <w:ilvl w:val="0"/>
          <w:numId w:val="1003"/>
        </w:numPr>
      </w:pPr>
      <w:r>
        <w:t xml:space="preserve">text produced by upstream OCR or transcription systems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4"/>
        </w:numPr>
      </w:pPr>
      <w:r>
        <w:t xml:space="preserve">normalized request text</w:t>
      </w:r>
    </w:p>
    <w:p>
      <w:pPr>
        <w:pStyle w:val="FirstParagraph"/>
      </w:pPr>
      <w:r>
        <w:t xml:space="preserve">Operational notes:</w:t>
      </w:r>
    </w:p>
    <w:p>
      <w:pPr>
        <w:pStyle w:val="Compact"/>
        <w:numPr>
          <w:ilvl w:val="0"/>
          <w:numId w:val="1005"/>
        </w:numPr>
      </w:pPr>
      <w:r>
        <w:t xml:space="preserve">this starter assumes text is already available</w:t>
      </w:r>
    </w:p>
    <w:p>
      <w:pPr>
        <w:pStyle w:val="Compact"/>
        <w:numPr>
          <w:ilvl w:val="0"/>
          <w:numId w:val="1005"/>
        </w:numPr>
      </w:pPr>
      <w:r>
        <w:t xml:space="preserve">no payer portal or EHR integration is implemented yet</w:t>
      </w:r>
    </w:p>
    <w:bookmarkEnd w:id="13"/>
    <w:bookmarkStart w:id="14" w:name="phase-2-extract"/>
    <w:p>
      <w:pPr>
        <w:pStyle w:val="Heading3"/>
      </w:pPr>
      <w:r>
        <w:t xml:space="preserve">Phase 2: Extract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6"/>
        </w:numPr>
      </w:pPr>
      <w:r>
        <w:t xml:space="preserve">identify the patient, coverage, and clinical fields needed for utilization</w:t>
      </w:r>
      <w:r>
        <w:t xml:space="preserve"> </w:t>
      </w:r>
      <w:r>
        <w:t xml:space="preserve">review</w:t>
      </w:r>
    </w:p>
    <w:p>
      <w:pPr>
        <w:pStyle w:val="FirstParagraph"/>
      </w:pPr>
      <w:r>
        <w:t xml:space="preserve">Fields extracted today:</w:t>
      </w:r>
    </w:p>
    <w:p>
      <w:pPr>
        <w:pStyle w:val="Compact"/>
        <w:numPr>
          <w:ilvl w:val="0"/>
          <w:numId w:val="1007"/>
        </w:numPr>
      </w:pPr>
      <w:r>
        <w:t xml:space="preserve">patient name</w:t>
      </w:r>
    </w:p>
    <w:p>
      <w:pPr>
        <w:pStyle w:val="Compact"/>
        <w:numPr>
          <w:ilvl w:val="0"/>
          <w:numId w:val="1007"/>
        </w:numPr>
      </w:pPr>
      <w:r>
        <w:t xml:space="preserve">member ID</w:t>
      </w:r>
    </w:p>
    <w:p>
      <w:pPr>
        <w:pStyle w:val="Compact"/>
        <w:numPr>
          <w:ilvl w:val="0"/>
          <w:numId w:val="1007"/>
        </w:numPr>
      </w:pPr>
      <w:r>
        <w:t xml:space="preserve">payer</w:t>
      </w:r>
    </w:p>
    <w:p>
      <w:pPr>
        <w:pStyle w:val="Compact"/>
        <w:numPr>
          <w:ilvl w:val="0"/>
          <w:numId w:val="1007"/>
        </w:numPr>
      </w:pPr>
      <w:r>
        <w:t xml:space="preserve">diagnosis</w:t>
      </w:r>
    </w:p>
    <w:p>
      <w:pPr>
        <w:pStyle w:val="Compact"/>
        <w:numPr>
          <w:ilvl w:val="0"/>
          <w:numId w:val="1007"/>
        </w:numPr>
      </w:pPr>
      <w:r>
        <w:t xml:space="preserve">procedure</w:t>
      </w:r>
    </w:p>
    <w:p>
      <w:pPr>
        <w:pStyle w:val="Compact"/>
        <w:numPr>
          <w:ilvl w:val="0"/>
          <w:numId w:val="1007"/>
        </w:numPr>
      </w:pPr>
      <w:r>
        <w:t xml:space="preserve">ordering provider</w:t>
      </w:r>
    </w:p>
    <w:p>
      <w:pPr>
        <w:pStyle w:val="FirstParagraph"/>
      </w:pPr>
      <w:r>
        <w:t xml:space="preserve">Supporting logic:</w:t>
      </w:r>
    </w:p>
    <w:p>
      <w:pPr>
        <w:pStyle w:val="Compact"/>
        <w:numPr>
          <w:ilvl w:val="0"/>
          <w:numId w:val="1008"/>
        </w:numPr>
      </w:pPr>
      <w:r>
        <w:t xml:space="preserve">whitespace normalization</w:t>
      </w:r>
    </w:p>
    <w:p>
      <w:pPr>
        <w:pStyle w:val="Compact"/>
        <w:numPr>
          <w:ilvl w:val="0"/>
          <w:numId w:val="1008"/>
        </w:numPr>
      </w:pPr>
      <w:r>
        <w:t xml:space="preserve">regex extraction</w:t>
      </w:r>
    </w:p>
    <w:p>
      <w:pPr>
        <w:pStyle w:val="Compact"/>
        <w:numPr>
          <w:ilvl w:val="0"/>
          <w:numId w:val="1008"/>
        </w:numPr>
      </w:pPr>
      <w:r>
        <w:t xml:space="preserve">retrieval of payer-rule snippets when enabled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9"/>
        </w:numPr>
      </w:pPr>
      <w:r>
        <w:t xml:space="preserve">structured request details</w:t>
      </w:r>
    </w:p>
    <w:p>
      <w:pPr>
        <w:pStyle w:val="Compact"/>
        <w:numPr>
          <w:ilvl w:val="0"/>
          <w:numId w:val="1009"/>
        </w:numPr>
      </w:pPr>
      <w:r>
        <w:t xml:space="preserve">deterministic summary</w:t>
      </w:r>
    </w:p>
    <w:p>
      <w:pPr>
        <w:pStyle w:val="Compact"/>
        <w:numPr>
          <w:ilvl w:val="0"/>
          <w:numId w:val="1009"/>
        </w:numPr>
      </w:pPr>
      <w:r>
        <w:t xml:space="preserve">preliminary routing target</w:t>
      </w:r>
    </w:p>
    <w:bookmarkEnd w:id="14"/>
    <w:bookmarkStart w:id="15" w:name="X64f7ec9f17636fff5b8446df45d359b0764259f"/>
    <w:p>
      <w:pPr>
        <w:pStyle w:val="Heading3"/>
      </w:pPr>
      <w:r>
        <w:t xml:space="preserve">Phase 3: Eligibility and Completeness Review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0"/>
        </w:numPr>
      </w:pPr>
      <w:r>
        <w:t xml:space="preserve">make incompleteness visible before case routing</w:t>
      </w:r>
    </w:p>
    <w:p>
      <w:pPr>
        <w:pStyle w:val="FirstParagraph"/>
      </w:pPr>
      <w:r>
        <w:t xml:space="preserve">Critical fields:</w:t>
      </w:r>
    </w:p>
    <w:p>
      <w:pPr>
        <w:pStyle w:val="Compact"/>
        <w:numPr>
          <w:ilvl w:val="0"/>
          <w:numId w:val="1011"/>
        </w:numPr>
      </w:pPr>
      <w:r>
        <w:t xml:space="preserve">patient name</w:t>
      </w:r>
    </w:p>
    <w:p>
      <w:pPr>
        <w:pStyle w:val="Compact"/>
        <w:numPr>
          <w:ilvl w:val="0"/>
          <w:numId w:val="1011"/>
        </w:numPr>
      </w:pPr>
      <w:r>
        <w:t xml:space="preserve">member ID</w:t>
      </w:r>
    </w:p>
    <w:p>
      <w:pPr>
        <w:pStyle w:val="Compact"/>
        <w:numPr>
          <w:ilvl w:val="0"/>
          <w:numId w:val="1011"/>
        </w:numPr>
      </w:pPr>
      <w:r>
        <w:t xml:space="preserve">payer</w:t>
      </w:r>
    </w:p>
    <w:p>
      <w:pPr>
        <w:pStyle w:val="Compact"/>
        <w:numPr>
          <w:ilvl w:val="0"/>
          <w:numId w:val="1011"/>
        </w:numPr>
      </w:pPr>
      <w:r>
        <w:t xml:space="preserve">diagnosis</w:t>
      </w:r>
    </w:p>
    <w:p>
      <w:pPr>
        <w:pStyle w:val="Compact"/>
        <w:numPr>
          <w:ilvl w:val="0"/>
          <w:numId w:val="1011"/>
        </w:numPr>
      </w:pPr>
      <w:r>
        <w:t xml:space="preserve">procedure</w:t>
      </w:r>
    </w:p>
    <w:p>
      <w:pPr>
        <w:pStyle w:val="FirstParagraph"/>
      </w:pPr>
      <w:r>
        <w:t xml:space="preserve">Validation behavior:</w:t>
      </w:r>
    </w:p>
    <w:p>
      <w:pPr>
        <w:pStyle w:val="Compact"/>
        <w:numPr>
          <w:ilvl w:val="0"/>
          <w:numId w:val="1012"/>
        </w:numPr>
      </w:pPr>
      <w:r>
        <w:t xml:space="preserve">missing critical fields create explicit next actions</w:t>
      </w:r>
    </w:p>
    <w:p>
      <w:pPr>
        <w:pStyle w:val="Compact"/>
        <w:numPr>
          <w:ilvl w:val="0"/>
          <w:numId w:val="1012"/>
        </w:numPr>
      </w:pPr>
      <w:r>
        <w:t xml:space="preserve">standard next actions always include benefit coverage confirmation and</w:t>
      </w:r>
      <w:r>
        <w:t xml:space="preserve"> </w:t>
      </w:r>
      <w:r>
        <w:t xml:space="preserve">diagnosis-to-procedure validation</w:t>
      </w:r>
    </w:p>
    <w:p>
      <w:pPr>
        <w:pStyle w:val="FirstParagraph"/>
      </w:pPr>
      <w:r>
        <w:t xml:space="preserve">Business value:</w:t>
      </w:r>
    </w:p>
    <w:p>
      <w:pPr>
        <w:pStyle w:val="Compact"/>
        <w:numPr>
          <w:ilvl w:val="0"/>
          <w:numId w:val="1013"/>
        </w:numPr>
      </w:pPr>
      <w:r>
        <w:t xml:space="preserve">prevents incomplete authorizations from appearing ready for review when they</w:t>
      </w:r>
      <w:r>
        <w:t xml:space="preserve"> </w:t>
      </w:r>
      <w:r>
        <w:t xml:space="preserve">are not</w:t>
      </w:r>
    </w:p>
    <w:bookmarkEnd w:id="15"/>
    <w:bookmarkStart w:id="16" w:name="phase-4-escalate-to-medical-review"/>
    <w:p>
      <w:pPr>
        <w:pStyle w:val="Heading3"/>
      </w:pPr>
      <w:r>
        <w:t xml:space="preserve">Phase 4: Escalate to Medical Review</w:t>
      </w:r>
    </w:p>
    <w:p>
      <w:pPr>
        <w:pStyle w:val="FirstParagraph"/>
      </w:pPr>
      <w:r>
        <w:t xml:space="preserve">Entry condition:</w:t>
      </w:r>
    </w:p>
    <w:p>
      <w:pPr>
        <w:pStyle w:val="Compact"/>
        <w:numPr>
          <w:ilvl w:val="0"/>
          <w:numId w:val="1014"/>
        </w:numPr>
      </w:pPr>
      <w:r>
        <w:t xml:space="preserve">request text contains a high-acuity keyword such as:</w:t>
      </w:r>
    </w:p>
    <w:p>
      <w:pPr>
        <w:pStyle w:val="Compact"/>
        <w:numPr>
          <w:ilvl w:val="1"/>
          <w:numId w:val="1015"/>
        </w:numPr>
      </w:pPr>
      <w:r>
        <w:t xml:space="preserve">surgery</w:t>
      </w:r>
    </w:p>
    <w:p>
      <w:pPr>
        <w:pStyle w:val="Compact"/>
        <w:numPr>
          <w:ilvl w:val="1"/>
          <w:numId w:val="1015"/>
        </w:numPr>
      </w:pPr>
      <w:r>
        <w:t xml:space="preserve">inpatient</w:t>
      </w:r>
    </w:p>
    <w:p>
      <w:pPr>
        <w:pStyle w:val="Compact"/>
        <w:numPr>
          <w:ilvl w:val="1"/>
          <w:numId w:val="1015"/>
        </w:numPr>
      </w:pPr>
      <w:r>
        <w:t xml:space="preserve">oncology</w:t>
      </w:r>
    </w:p>
    <w:p>
      <w:pPr>
        <w:pStyle w:val="Compact"/>
        <w:numPr>
          <w:ilvl w:val="1"/>
          <w:numId w:val="1015"/>
        </w:numPr>
      </w:pPr>
      <w:r>
        <w:t xml:space="preserve">infusion</w:t>
      </w:r>
    </w:p>
    <w:p>
      <w:pPr>
        <w:pStyle w:val="Compact"/>
        <w:numPr>
          <w:ilvl w:val="1"/>
          <w:numId w:val="1015"/>
        </w:numPr>
      </w:pPr>
      <w:r>
        <w:t xml:space="preserve">mri</w:t>
      </w:r>
    </w:p>
    <w:p>
      <w:pPr>
        <w:pStyle w:val="FirstParagraph"/>
      </w:pPr>
      <w:r>
        <w:t xml:space="preserve">Route target: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healthcare.medical_review</w:t>
      </w:r>
    </w:p>
    <w:p>
      <w:pPr>
        <w:pStyle w:val="FirstParagraph"/>
      </w:pPr>
      <w:r>
        <w:t xml:space="preserve">Next actions added:</w:t>
      </w:r>
    </w:p>
    <w:p>
      <w:pPr>
        <w:pStyle w:val="Compact"/>
        <w:numPr>
          <w:ilvl w:val="0"/>
          <w:numId w:val="1017"/>
        </w:numPr>
      </w:pPr>
      <w:r>
        <w:t xml:space="preserve">escalate to medical review due to service complexity</w:t>
      </w:r>
    </w:p>
    <w:bookmarkEnd w:id="16"/>
    <w:bookmarkStart w:id="17" w:name="phase-5-route-to-utilization-review"/>
    <w:p>
      <w:pPr>
        <w:pStyle w:val="Heading3"/>
      </w:pPr>
      <w:r>
        <w:t xml:space="preserve">Phase 5: Route to Utilization Review</w:t>
      </w:r>
    </w:p>
    <w:p>
      <w:pPr>
        <w:pStyle w:val="FirstParagraph"/>
      </w:pPr>
      <w:r>
        <w:t xml:space="preserve">Entry condition:</w:t>
      </w:r>
    </w:p>
    <w:p>
      <w:pPr>
        <w:pStyle w:val="Compact"/>
        <w:numPr>
          <w:ilvl w:val="0"/>
          <w:numId w:val="1018"/>
        </w:numPr>
      </w:pPr>
      <w:r>
        <w:t xml:space="preserve">no high-acuity keyword is detected</w:t>
      </w:r>
    </w:p>
    <w:p>
      <w:pPr>
        <w:pStyle w:val="FirstParagraph"/>
      </w:pPr>
      <w:r>
        <w:t xml:space="preserve">Route target: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healthcare.utilization_review</w:t>
      </w:r>
    </w:p>
    <w:p>
      <w:pPr>
        <w:pStyle w:val="FirstParagraph"/>
      </w:pPr>
      <w:r>
        <w:t xml:space="preserve">Next actions added:</w:t>
      </w:r>
    </w:p>
    <w:p>
      <w:pPr>
        <w:pStyle w:val="Compact"/>
        <w:numPr>
          <w:ilvl w:val="0"/>
          <w:numId w:val="1020"/>
        </w:numPr>
      </w:pPr>
      <w:r>
        <w:t xml:space="preserve">confirm benefit coverage and payer-specific rules</w:t>
      </w:r>
    </w:p>
    <w:p>
      <w:pPr>
        <w:pStyle w:val="Compact"/>
        <w:numPr>
          <w:ilvl w:val="0"/>
          <w:numId w:val="1020"/>
        </w:numPr>
      </w:pPr>
      <w:r>
        <w:t xml:space="preserve">validate diagnosis-to-procedure alignment</w:t>
      </w:r>
    </w:p>
    <w:p>
      <w:pPr>
        <w:pStyle w:val="Compact"/>
        <w:numPr>
          <w:ilvl w:val="0"/>
          <w:numId w:val="1020"/>
        </w:numPr>
      </w:pPr>
      <w:r>
        <w:t xml:space="preserve">route to standard utilization review</w:t>
      </w:r>
    </w:p>
    <w:bookmarkEnd w:id="17"/>
    <w:bookmarkEnd w:id="18"/>
    <w:bookmarkStart w:id="19" w:name="version-040-update"/>
    <w:p>
      <w:pPr>
        <w:pStyle w:val="Heading2"/>
      </w:pPr>
      <w:r>
        <w:t xml:space="preserve">Version 0.4.0 update</w:t>
      </w:r>
    </w:p>
    <w:p>
      <w:pPr>
        <w:pStyle w:val="FirstParagraph"/>
      </w:pPr>
      <w:r>
        <w:t xml:space="preserve">The prior-authorization starter flow should evolve by reusing the broader Oracle</w:t>
      </w:r>
      <w:r>
        <w:t xml:space="preserve"> </w:t>
      </w:r>
      <w:r>
        <w:t xml:space="preserve">Health assets already present under</w:t>
      </w:r>
      <w:r>
        <w:t xml:space="preserve"> </w:t>
      </w:r>
      <w:r>
        <w:rPr>
          <w:rStyle w:val="VerbatimChar"/>
        </w:rPr>
        <w:t xml:space="preserve">AIAgents</w:t>
      </w:r>
      <w:r>
        <w:t xml:space="preserve">, especially: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oracle-health-prior-auth-approval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oracle-health-denial-recovery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oracle-health-referral-closure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oracle-health-revenue-cycle-daily-close</w:t>
      </w:r>
    </w:p>
    <w:p>
      <w:pPr>
        <w:pStyle w:val="FirstParagraph"/>
      </w:pPr>
      <w:r>
        <w:t xml:space="preserve">This gives a credible path from a single prior-auth demo toward a wider Oracle</w:t>
      </w:r>
      <w:r>
        <w:t xml:space="preserve"> </w:t>
      </w:r>
      <w:r>
        <w:t xml:space="preserve">Health revenue-cycle and utilization-management POC package.</w:t>
      </w:r>
    </w:p>
    <w:bookmarkEnd w:id="19"/>
    <w:bookmarkStart w:id="20" w:name="decision-table"/>
    <w:p>
      <w:pPr>
        <w:pStyle w:val="Heading2"/>
      </w:pPr>
      <w:r>
        <w:t xml:space="preserve">Decision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core member or clinical fields</w:t>
            </w:r>
          </w:p>
        </w:tc>
        <w:tc>
          <w:tcPr/>
          <w:p>
            <w:pPr>
              <w:pStyle w:val="Compact"/>
            </w:pPr>
            <w:r>
              <w:t xml:space="preserve">Add remediation action and lower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High-acuity keyword present</w:t>
            </w:r>
          </w:p>
        </w:tc>
        <w:tc>
          <w:tcPr/>
          <w:p>
            <w:pPr>
              <w:pStyle w:val="Compact"/>
            </w:pPr>
            <w:r>
              <w:t xml:space="preserve">Route to</w:t>
            </w:r>
            <w:r>
              <w:t xml:space="preserve"> </w:t>
            </w:r>
            <w:r>
              <w:rPr>
                <w:rStyle w:val="VerbatimChar"/>
              </w:rPr>
              <w:t xml:space="preserve">healthcare.medical_review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high-acuity keyword present</w:t>
            </w:r>
          </w:p>
        </w:tc>
        <w:tc>
          <w:tcPr/>
          <w:p>
            <w:pPr>
              <w:pStyle w:val="Compact"/>
            </w:pPr>
            <w:r>
              <w:t xml:space="preserve">Route to</w:t>
            </w:r>
            <w:r>
              <w:t xml:space="preserve"> </w:t>
            </w:r>
            <w:r>
              <w:rPr>
                <w:rStyle w:val="VerbatimChar"/>
              </w:rPr>
              <w:t xml:space="preserve">healthcare.utilization_review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enabled</w:t>
            </w:r>
          </w:p>
        </w:tc>
        <w:tc>
          <w:tcPr/>
          <w:p>
            <w:pPr>
              <w:pStyle w:val="Compact"/>
            </w:pPr>
            <w:r>
              <w:t xml:space="preserve">Attach payer-rule context snippets</w:t>
            </w:r>
          </w:p>
        </w:tc>
      </w:tr>
    </w:tbl>
    <w:bookmarkEnd w:id="20"/>
    <w:bookmarkStart w:id="21" w:name="current-limitations"/>
    <w:p>
      <w:pPr>
        <w:pStyle w:val="Heading2"/>
      </w:pPr>
      <w:r>
        <w:t xml:space="preserve">Current limitations</w:t>
      </w:r>
    </w:p>
    <w:p>
      <w:pPr>
        <w:pStyle w:val="Compact"/>
        <w:numPr>
          <w:ilvl w:val="0"/>
          <w:numId w:val="1022"/>
        </w:numPr>
      </w:pPr>
      <w:r>
        <w:t xml:space="preserve">no eligibility API integration</w:t>
      </w:r>
    </w:p>
    <w:p>
      <w:pPr>
        <w:pStyle w:val="Compact"/>
        <w:numPr>
          <w:ilvl w:val="0"/>
          <w:numId w:val="1022"/>
        </w:numPr>
      </w:pPr>
      <w:r>
        <w:t xml:space="preserve">no payer-specific rule engine</w:t>
      </w:r>
    </w:p>
    <w:p>
      <w:pPr>
        <w:pStyle w:val="Compact"/>
        <w:numPr>
          <w:ilvl w:val="0"/>
          <w:numId w:val="1022"/>
        </w:numPr>
      </w:pPr>
      <w:r>
        <w:t xml:space="preserve">no authorization status persistence</w:t>
      </w:r>
    </w:p>
    <w:p>
      <w:pPr>
        <w:pStyle w:val="Compact"/>
        <w:numPr>
          <w:ilvl w:val="0"/>
          <w:numId w:val="1022"/>
        </w:numPr>
      </w:pPr>
      <w:r>
        <w:t xml:space="preserve">no clinician review work queue yet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 Authorization</dc:title>
  <dc:creator/>
  <cp:keywords/>
  <dcterms:created xsi:type="dcterms:W3CDTF">2026-04-29T22:56:04Z</dcterms:created>
  <dcterms:modified xsi:type="dcterms:W3CDTF">2026-04-29T22:56:04Z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