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440"/>
          <w:sz w:val="56"/>
        </w:rPr>
        <w:t>LA LIGA ETERNA</w:t>
      </w:r>
    </w:p>
    <w:p>
      <w:pPr>
        <w:jc w:val="center"/>
      </w:pPr>
      <w:r>
        <w:rPr>
          <w:b/>
          <w:color w:val="155480"/>
          <w:sz w:val="28"/>
        </w:rPr>
        <w:t>STYLE GUIDE · PERSONAJES, MODOS Y ESCUDOS</w:t>
      </w:r>
    </w:p>
    <w:p>
      <w:pPr>
        <w:jc w:val="center"/>
      </w:pPr>
      <w:r>
        <w:rPr>
          <w:i/>
          <w:sz w:val="21"/>
        </w:rPr>
        <w:t>Propuesta de dirección artística para assets 2D integrados en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Propósito</w:t>
            </w:r>
          </w:p>
        </w:tc>
        <w:tc>
          <w:tcPr>
            <w:tcW w:type="dxa" w:w="50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Unificar el aspecto de los assets ilustrados para que cada pieza nueva encaje con los avatares, Capi, insignias y escudos ya producidos.</w:t>
            </w:r>
          </w:p>
        </w:tc>
      </w:tr>
      <w:tr>
        <w:tc>
          <w:tcPr>
            <w:tcW w:type="dxa" w:w="5043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Estilo objetivo</w:t>
            </w:r>
          </w:p>
        </w:tc>
        <w:tc>
          <w:tcPr>
            <w:tcW w:type="dxa" w:w="50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Ilustración 2D plana/semi-plana, amable, de lectura instantánea, con volumen suave, contorno limpio y energía deportiva.</w:t>
            </w:r>
          </w:p>
        </w:tc>
      </w:tr>
      <w:tr>
        <w:tc>
          <w:tcPr>
            <w:tcW w:type="dxa" w:w="5043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Uso</w:t>
            </w:r>
          </w:p>
        </w:tc>
        <w:tc>
          <w:tcPr>
            <w:tcW w:type="dxa" w:w="50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Tarjetas de perfil, selector de modo, insignias de estrategia, escudos de estadio, retratos y futuras piezas narrativas.</w:t>
            </w:r>
          </w:p>
        </w:tc>
      </w:tr>
      <w:tr>
        <w:tc>
          <w:tcPr>
            <w:tcW w:type="dxa" w:w="5043"/>
            <w:shd w:fill="DCE6F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Regla madre</w:t>
            </w:r>
          </w:p>
        </w:tc>
        <w:tc>
          <w:tcPr>
            <w:tcW w:type="dxa" w:w="504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Todo debe sentirse como una app de fútbol cálida y premium, nunca como un examen ilustrado.</w:t>
            </w:r>
          </w:p>
        </w:tc>
      </w:tr>
    </w:tbl>
    <w:p/>
    <w:p>
      <w:pPr>
        <w:pStyle w:val="Heading1"/>
      </w:pPr>
      <w:r>
        <w:t>1. Visión visual del proyecto</w:t>
      </w:r>
    </w:p>
    <w:p>
      <w:r>
        <w:t>La identidad visual debe resolver una tensión muy concreta: parecer un juego deportivo con carácter premium y, al mismo tiempo, ser lo bastante clara y amable como para que niños de 6 a 9 años la entiendan en una pantalla táctil.</w:t>
      </w:r>
    </w:p>
    <w:p>
      <w:pPr>
        <w:pStyle w:val="Heading2"/>
      </w:pPr>
      <w:r>
        <w:t>Lectura estratégica</w:t>
      </w:r>
    </w:p>
    <w:p>
      <w:pPr>
        <w:ind w:left="227" w:hanging="142"/>
      </w:pPr>
      <w:r>
        <w:rPr>
          <w:sz w:val="21"/>
        </w:rPr>
        <w:t>• Deportivo, no académico.</w:t>
      </w:r>
    </w:p>
    <w:p>
      <w:pPr>
        <w:ind w:left="227" w:hanging="142"/>
      </w:pPr>
      <w:r>
        <w:rPr>
          <w:sz w:val="21"/>
        </w:rPr>
        <w:t>• Amable, no tierno en exceso.</w:t>
      </w:r>
    </w:p>
    <w:p>
      <w:pPr>
        <w:ind w:left="227" w:hanging="142"/>
      </w:pPr>
      <w:r>
        <w:rPr>
          <w:sz w:val="21"/>
        </w:rPr>
        <w:t>• Clara, no recargada.</w:t>
      </w:r>
    </w:p>
    <w:p>
      <w:pPr>
        <w:ind w:left="227" w:hanging="142"/>
      </w:pPr>
      <w:r>
        <w:rPr>
          <w:sz w:val="21"/>
        </w:rPr>
        <w:t>• Con carácter, no agresiva.</w:t>
      </w:r>
    </w:p>
    <w:p>
      <w:pPr>
        <w:pStyle w:val="Heading1"/>
      </w:pPr>
      <w:r>
        <w:t>2. Lectura de las referencias actuales</w:t>
      </w:r>
    </w:p>
    <w:p>
      <w:r>
        <w:t>Los assets ya producidos marcan una base muy útil: el jugador aparece como un futbolista estilizado, con proporciones contenidas, gesto serio pero accesible y uniforme reconocible; Capi funciona como mentor cercano, más redondeado, más caricaturesco y más optimista.</w:t>
      </w:r>
    </w:p>
    <w:p>
      <w:r>
        <w:t>Esa combinación sugiere una dirección de arte híbrida: personajes con lectura cartoon editorial, pero con tratamiento de luz, textura y postura lo bastante sobrio como para no perder credibilidad ni parecer un dibujo infantilizado.</w:t>
      </w:r>
    </w:p>
    <w:p>
      <w:pPr>
        <w:pStyle w:val="Heading2"/>
      </w:pPr>
      <w:r>
        <w:t>2.1 Referencias de estilo proporcionadas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Jugador / Guardián</w:t>
            </w:r>
            <w:r/>
            <w:r>
              <w:drawing>
                <wp:inline xmlns:a="http://schemas.openxmlformats.org/drawingml/2006/main" xmlns:pic="http://schemas.openxmlformats.org/drawingml/2006/picture">
                  <wp:extent cx="2103120" cy="2804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b7d56f-8b11-4ce6-bb61-767dbe3bb94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804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</w:rPr>
              <w:t>Capi / Mentor</w:t>
            </w:r>
            <w:r/>
            <w:r>
              <w:drawing>
                <wp:inline xmlns:a="http://schemas.openxmlformats.org/drawingml/2006/main" xmlns:pic="http://schemas.openxmlformats.org/drawingml/2006/picture">
                  <wp:extent cx="2514600" cy="2514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80bab3-2d86-47d2-883b-862bae89439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514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t>3. Principios de dirección de arte</w:t>
      </w:r>
    </w:p>
    <w:p>
      <w:pPr>
        <w:ind w:left="227" w:hanging="142"/>
      </w:pPr>
      <w:r>
        <w:rPr>
          <w:sz w:val="21"/>
        </w:rPr>
        <w:t>• Siluetas simples y memorables: cada personaje debe reconocerse en 1 segundo.</w:t>
      </w:r>
    </w:p>
    <w:p>
      <w:pPr>
        <w:ind w:left="227" w:hanging="142"/>
      </w:pPr>
      <w:r>
        <w:rPr>
          <w:sz w:val="21"/>
        </w:rPr>
        <w:t>• Volumen suave y controlado: suficiente sombra para dar cuerpo, sin llegar a un render 3D.</w:t>
      </w:r>
    </w:p>
    <w:p>
      <w:pPr>
        <w:ind w:left="227" w:hanging="142"/>
      </w:pPr>
      <w:r>
        <w:rPr>
          <w:sz w:val="21"/>
        </w:rPr>
        <w:t>• Expresiones grandes y legibles: ojos, cejas y boca mandan más que el detalle fino.</w:t>
      </w:r>
    </w:p>
    <w:p>
      <w:pPr>
        <w:ind w:left="227" w:hanging="142"/>
      </w:pPr>
      <w:r>
        <w:rPr>
          <w:sz w:val="21"/>
        </w:rPr>
        <w:t>• Fantasía deportiva, no realismo fotográfico: el fútbol es el lenguaje, la ilustración es la capa lúdica.</w:t>
      </w:r>
    </w:p>
    <w:p>
      <w:pPr>
        <w:ind w:left="227" w:hanging="142"/>
      </w:pPr>
      <w:r>
        <w:rPr>
          <w:sz w:val="21"/>
        </w:rPr>
        <w:t>• Compatibilidad con interfaz: las piezas deben respirar sobre fondos claros y de color.</w:t>
      </w:r>
    </w:p>
    <w:p>
      <w:pPr>
        <w:ind w:left="227" w:hanging="142"/>
      </w:pPr>
      <w:r>
        <w:rPr>
          <w:sz w:val="21"/>
        </w:rPr>
        <w:t>• Sistema modular: mismo lenguaje para personajes, insignias, emblemas y retratos.</w:t>
      </w:r>
    </w:p>
    <w:p>
      <w:pPr>
        <w:pStyle w:val="Heading1"/>
      </w:pPr>
      <w:r>
        <w:t>4. Estilo gráfico recomendado</w:t>
      </w:r>
    </w:p>
    <w:p>
      <w:r>
        <w:t>La línea más coherente para este proyecto es una ilustración 2D plana/semi-plana con sombreado suave, bordes limpios y un acabado entre app premium y videojuego casual. Debe recordar a una colección de stickers animados de alta calidad más que a un póster realista.</w:t>
      </w:r>
    </w:p>
    <w:p>
      <w:pPr>
        <w:pStyle w:val="Heading2"/>
      </w:pPr>
      <w:r>
        <w:t>Aspecto final buscado</w:t>
      </w:r>
    </w:p>
    <w:p>
      <w:pPr>
        <w:ind w:left="227" w:hanging="142"/>
      </w:pPr>
      <w:r>
        <w:rPr>
          <w:sz w:val="21"/>
        </w:rPr>
        <w:t>• Color limpio y amable.</w:t>
      </w:r>
    </w:p>
    <w:p>
      <w:pPr>
        <w:ind w:left="227" w:hanging="142"/>
      </w:pPr>
      <w:r>
        <w:rPr>
          <w:sz w:val="21"/>
        </w:rPr>
        <w:t>• Sombras cortas y suaves.</w:t>
      </w:r>
    </w:p>
    <w:p>
      <w:pPr>
        <w:ind w:left="227" w:hanging="142"/>
      </w:pPr>
      <w:r>
        <w:rPr>
          <w:sz w:val="21"/>
        </w:rPr>
        <w:t>• Contornos finos o semigruesos.</w:t>
      </w:r>
    </w:p>
    <w:p>
      <w:pPr>
        <w:ind w:left="227" w:hanging="142"/>
      </w:pPr>
      <w:r>
        <w:rPr>
          <w:sz w:val="21"/>
        </w:rPr>
        <w:t>• Textura mínima, nunca sucia.</w:t>
      </w:r>
    </w:p>
    <w:p>
      <w:pPr>
        <w:ind w:left="227" w:hanging="142"/>
      </w:pPr>
      <w:r>
        <w:rPr>
          <w:sz w:val="21"/>
        </w:rPr>
        <w:t>• Lectura instantánea en tablet.</w:t>
      </w:r>
    </w:p>
    <w:p>
      <w:pPr>
        <w:pStyle w:val="Heading1"/>
      </w:pPr>
      <w:r>
        <w:t>5. Proporciones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>
              <w:t>Elemento</w:t>
            </w:r>
          </w:p>
        </w:tc>
        <w:tc>
          <w:tcPr>
            <w:tcW w:type="dxa" w:w="3362"/>
            <w:shd w:fill="D9EAF7"/>
          </w:tcPr>
          <w:p>
            <w:r>
              <w:t>Regla visual</w:t>
            </w:r>
          </w:p>
        </w:tc>
        <w:tc>
          <w:tcPr>
            <w:tcW w:type="dxa" w:w="3362"/>
            <w:shd w:fill="D9EAF7"/>
          </w:tcPr>
          <w:p>
            <w:r>
              <w:t>Intención</w:t>
            </w:r>
          </w:p>
        </w:tc>
      </w:tr>
      <w:tr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Jugador / Guardián</w:t>
            </w:r>
          </w:p>
        </w:tc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Cabeza algo grande, cuerpo compacto, piernas funcionales</w:t>
            </w:r>
          </w:p>
        </w:tc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Empatía + agilidad</w:t>
            </w:r>
          </w:p>
        </w:tc>
      </w:tr>
      <w:tr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Capi</w:t>
            </w:r>
          </w:p>
        </w:tc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Adulto robusto, tronco algo mayor, cara muy expresiva</w:t>
            </w:r>
          </w:p>
        </w:tc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Mentoría + calma</w:t>
            </w:r>
          </w:p>
        </w:tc>
      </w:tr>
      <w:tr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Insignias y escudos</w:t>
            </w:r>
          </w:p>
        </w:tc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Forma circular o heráldica simplificada</w:t>
            </w:r>
          </w:p>
        </w:tc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Reconocimiento rápido</w:t>
            </w:r>
          </w:p>
        </w:tc>
      </w:tr>
    </w:tbl>
    <w:p/>
    <w:p>
      <w:pPr>
        <w:pStyle w:val="Heading1"/>
      </w:pPr>
      <w:r>
        <w:t>6. Sistema de expresiones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AF2F8"/>
          </w:tcPr>
          <w:p>
            <w:r>
              <w:t>Estado</w:t>
            </w:r>
          </w:p>
        </w:tc>
        <w:tc>
          <w:tcPr>
            <w:tcW w:type="dxa" w:w="3362"/>
            <w:shd w:fill="EAF2F8"/>
          </w:tcPr>
          <w:p>
            <w:r>
              <w:t>Cómo debe verse</w:t>
            </w:r>
          </w:p>
        </w:tc>
        <w:tc>
          <w:tcPr>
            <w:tcW w:type="dxa" w:w="3362"/>
            <w:shd w:fill="EAF2F8"/>
          </w:tcPr>
          <w:p>
            <w:r>
              <w:t>Uso</w:t>
            </w:r>
          </w:p>
        </w:tc>
      </w:tr>
      <w:tr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Alegría</w:t>
            </w:r>
          </w:p>
        </w:tc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Ojos abiertos, sonrisa corta, mejillas vivas</w:t>
            </w:r>
          </w:p>
        </w:tc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Éxito, progreso, celebración</w:t>
            </w:r>
          </w:p>
        </w:tc>
      </w:tr>
      <w:tr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Concentración</w:t>
            </w:r>
          </w:p>
        </w:tc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Cejas activas, boca neutra, mirada directa</w:t>
            </w:r>
          </w:p>
        </w:tc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Antes de resolver</w:t>
            </w:r>
          </w:p>
        </w:tc>
      </w:tr>
      <w:tr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Duda</w:t>
            </w:r>
          </w:p>
        </w:tc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Una ceja más alta, boca pequeña, cabeza ligeramente inclinada</w:t>
            </w:r>
          </w:p>
        </w:tc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Pistas y decisiones</w:t>
            </w:r>
          </w:p>
        </w:tc>
      </w:tr>
      <w:tr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Error amable</w:t>
            </w:r>
          </w:p>
        </w:tc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Asombro leve, no frustración extrema</w:t>
            </w:r>
          </w:p>
        </w:tc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Intento fallido</w:t>
            </w:r>
          </w:p>
        </w:tc>
      </w:tr>
      <w:tr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Victoria</w:t>
            </w:r>
          </w:p>
        </w:tc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Sonrisa amplia, postura abierta</w:t>
            </w:r>
          </w:p>
        </w:tc>
        <w:tc>
          <w:tcPr>
            <w:tcW w:type="dxa" w:w="336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Pantallas de recompensa</w:t>
            </w:r>
          </w:p>
        </w:tc>
      </w:tr>
    </w:tbl>
    <w:p/>
    <w:p>
      <w:pPr>
        <w:pStyle w:val="Heading1"/>
      </w:pPr>
      <w:r>
        <w:t>7. Vestuario y lenguaje de ropa</w:t>
      </w:r>
    </w:p>
    <w:p>
      <w:r>
        <w:t>La vestimenta debe funcionar como sistema de identidad y progresión. Cada personaje necesita una base reconocible y una capa de variación que permita upgrades sin romper la coherencia.</w:t>
      </w:r>
    </w:p>
    <w:p>
      <w:pPr>
        <w:ind w:left="227" w:hanging="142"/>
      </w:pPr>
      <w:r>
        <w:rPr>
          <w:sz w:val="21"/>
        </w:rPr>
        <w:t>• Jugadores: camiseta, pantalón corto, medias altas, botas visibles y número de dorsal claro.</w:t>
      </w:r>
    </w:p>
    <w:p>
      <w:pPr>
        <w:ind w:left="227" w:hanging="142"/>
      </w:pPr>
      <w:r>
        <w:rPr>
          <w:sz w:val="21"/>
        </w:rPr>
        <w:t>• Capi: chándal/chaqueta de entrenador con detalles de capitán; siempre cercano, nunca formal.</w:t>
      </w:r>
    </w:p>
    <w:p>
      <w:pPr>
        <w:ind w:left="227" w:hanging="142"/>
      </w:pPr>
      <w:r>
        <w:rPr>
          <w:sz w:val="21"/>
        </w:rPr>
        <w:t>• Leyendas del Orden: uniforme especial, pero sobrio, con un acento cromático por concepto matemático.</w:t>
      </w:r>
    </w:p>
    <w:p>
      <w:pPr>
        <w:ind w:left="227" w:hanging="142"/>
      </w:pPr>
      <w:r>
        <w:rPr>
          <w:sz w:val="21"/>
        </w:rPr>
        <w:t>• Fueras de Juego: material irregular, roto o corrupto, con asimetría y geometría inestable.</w:t>
      </w:r>
    </w:p>
    <w:p>
      <w:pPr>
        <w:pStyle w:val="Heading1"/>
      </w:pPr>
      <w:r>
        <w:t>8. Paleta cromática y función emocional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9EAF7"/>
          </w:tcPr>
          <w:p>
            <w:r>
              <w:t>Zona</w:t>
            </w:r>
          </w:p>
        </w:tc>
        <w:tc>
          <w:tcPr>
            <w:tcW w:type="dxa" w:w="2521"/>
            <w:shd w:fill="D9EAF7"/>
          </w:tcPr>
          <w:p>
            <w:r>
              <w:t>Color dominante</w:t>
            </w:r>
          </w:p>
        </w:tc>
        <w:tc>
          <w:tcPr>
            <w:tcW w:type="dxa" w:w="2521"/>
            <w:shd w:fill="D9EAF7"/>
          </w:tcPr>
          <w:p>
            <w:r>
              <w:t>Código emocional</w:t>
            </w:r>
          </w:p>
        </w:tc>
        <w:tc>
          <w:tcPr>
            <w:tcW w:type="dxa" w:w="2521"/>
            <w:shd w:fill="D9EAF7"/>
          </w:tcPr>
          <w:p>
            <w:r>
              <w:t>Uso</w:t>
            </w:r>
          </w:p>
        </w:tc>
      </w:tr>
      <w:tr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Mundo principal</w:t>
            </w:r>
          </w:p>
        </w:tc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Verde césped / azul deportivo</w:t>
            </w:r>
          </w:p>
        </w:tc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Confianza, juego, exploración</w:t>
            </w:r>
          </w:p>
        </w:tc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Calendario, navegación, base</w:t>
            </w:r>
          </w:p>
        </w:tc>
      </w:tr>
      <w:tr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Zona matemática</w:t>
            </w:r>
          </w:p>
        </w:tc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Turquesa / azul eléctrico</w:t>
            </w:r>
          </w:p>
        </w:tc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Claridad, foco, lógica</w:t>
            </w:r>
          </w:p>
        </w:tc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Puzles y apoyos</w:t>
            </w:r>
          </w:p>
        </w:tc>
      </w:tr>
      <w:tr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Celebración</w:t>
            </w:r>
          </w:p>
        </w:tc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Dorado / naranja</w:t>
            </w:r>
          </w:p>
        </w:tc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Logro, energía, recompensa</w:t>
            </w:r>
          </w:p>
        </w:tc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Éxito y desbloqueos</w:t>
            </w:r>
          </w:p>
        </w:tc>
      </w:tr>
      <w:tr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Error amable</w:t>
            </w:r>
          </w:p>
        </w:tc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Naranja cálido</w:t>
            </w:r>
          </w:p>
        </w:tc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Reintento sin alarma</w:t>
            </w:r>
          </w:p>
        </w:tc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Fallos y pistas</w:t>
            </w:r>
          </w:p>
        </w:tc>
      </w:tr>
      <w:tr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Caos narrativo</w:t>
            </w:r>
          </w:p>
        </w:tc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Morados y azul noche</w:t>
            </w:r>
          </w:p>
        </w:tc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Amenaza fantástica</w:t>
            </w:r>
          </w:p>
        </w:tc>
        <w:tc>
          <w:tcPr>
            <w:tcW w:type="dxa" w:w="252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Fueras de Juego y zonas oscuras</w:t>
            </w:r>
          </w:p>
        </w:tc>
      </w:tr>
    </w:tbl>
    <w:p/>
    <w:p>
      <w:pPr>
        <w:pStyle w:val="Heading1"/>
      </w:pPr>
      <w:r>
        <w:t>9. Reglas para insignias, emblemas y escudos</w:t>
      </w:r>
    </w:p>
    <w:p>
      <w:pPr>
        <w:ind w:left="227" w:hanging="142"/>
      </w:pPr>
      <w:r>
        <w:rPr>
          <w:sz w:val="21"/>
        </w:rPr>
        <w:t>• Toda insignia debe ser circular, muy legible y tener un icono central dominante.</w:t>
      </w:r>
    </w:p>
    <w:p>
      <w:pPr>
        <w:ind w:left="227" w:hanging="142"/>
      </w:pPr>
      <w:r>
        <w:rPr>
          <w:sz w:val="21"/>
        </w:rPr>
        <w:t>• El borde exterior debe sentirse como medalla deportiva, no como moneda genérica.</w:t>
      </w:r>
    </w:p>
    <w:p>
      <w:pPr>
        <w:ind w:left="227" w:hanging="142"/>
      </w:pPr>
      <w:r>
        <w:rPr>
          <w:sz w:val="21"/>
        </w:rPr>
        <w:t>• Cada estrategia matemática debe tener un símbolo visual inmediato: decena, redondeo, grupo, reparto, dobles, etc.</w:t>
      </w:r>
    </w:p>
    <w:p>
      <w:pPr>
        <w:ind w:left="227" w:hanging="142"/>
      </w:pPr>
      <w:r>
        <w:rPr>
          <w:sz w:val="21"/>
        </w:rPr>
        <w:t>• Los escudos de estadio deben compartir proporción, grosor de borde y nivel de detalle para que el calendario se vea uniforme.</w:t>
      </w:r>
    </w:p>
    <w:p>
      <w:pPr>
        <w:ind w:left="227" w:hanging="142"/>
      </w:pPr>
      <w:r>
        <w:rPr>
          <w:sz w:val="21"/>
        </w:rPr>
        <w:t>• Los emblemas de modo (Promesas / Estrellas / Leyendas) deben escalar en prestigio visual sin perder simplicidad.</w:t>
      </w:r>
    </w:p>
    <w:p>
      <w:pPr>
        <w:pStyle w:val="Heading1"/>
      </w:pPr>
      <w:r>
        <w:t>10. Reglas de composición para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5F5E3"/>
          </w:tcPr>
          <w:p>
            <w:r>
              <w:t>Hacer</w:t>
            </w:r>
          </w:p>
        </w:tc>
        <w:tc>
          <w:tcPr>
            <w:tcW w:type="dxa" w:w="5043"/>
            <w:shd w:fill="FADBD8"/>
          </w:tcPr>
          <w:p>
            <w:r>
              <w:t>Evitar</w:t>
            </w:r>
          </w:p>
        </w:tc>
      </w:tr>
      <w:tr>
        <w:tc>
          <w:tcPr>
            <w:tcW w:type="dxa" w:w="5043"/>
          </w:tcPr>
          <w:p>
            <w:r>
              <w:t>Silueta limpia.</w:t>
            </w:r>
          </w:p>
        </w:tc>
        <w:tc>
          <w:tcPr>
            <w:tcW w:type="dxa" w:w="5043"/>
          </w:tcPr>
          <w:p>
            <w:r>
              <w:t>Microdetalle innecesario.</w:t>
            </w:r>
          </w:p>
        </w:tc>
      </w:tr>
      <w:tr>
        <w:tc>
          <w:tcPr>
            <w:tcW w:type="dxa" w:w="5043"/>
          </w:tcPr>
          <w:p>
            <w:r>
              <w:t>Postura abierta.</w:t>
            </w:r>
          </w:p>
        </w:tc>
        <w:tc>
          <w:tcPr>
            <w:tcW w:type="dxa" w:w="5043"/>
          </w:tcPr>
          <w:p>
            <w:r>
              <w:t>Sombras duras tipo realismo.</w:t>
            </w:r>
          </w:p>
        </w:tc>
      </w:tr>
      <w:tr>
        <w:tc>
          <w:tcPr>
            <w:tcW w:type="dxa" w:w="5043"/>
          </w:tcPr>
          <w:p>
            <w:r>
              <w:t>Accesorios con función clara.</w:t>
            </w:r>
          </w:p>
        </w:tc>
        <w:tc>
          <w:tcPr>
            <w:tcW w:type="dxa" w:w="5043"/>
          </w:tcPr>
          <w:p>
            <w:r>
              <w:t>Posturas cerradas o agresivas.</w:t>
            </w:r>
          </w:p>
        </w:tc>
      </w:tr>
      <w:tr>
        <w:tc>
          <w:tcPr>
            <w:tcW w:type="dxa" w:w="5043"/>
          </w:tcPr>
          <w:p>
            <w:r>
              <w:t>Contraste suficiente sobre fondo claro.</w:t>
            </w:r>
          </w:p>
        </w:tc>
        <w:tc>
          <w:tcPr>
            <w:tcW w:type="dxa" w:w="5043"/>
          </w:tcPr>
          <w:p>
            <w:r>
              <w:t>Elementos que se pierdan en miniatura.</w:t>
            </w:r>
          </w:p>
        </w:tc>
      </w:tr>
      <w:tr>
        <w:tc>
          <w:tcPr>
            <w:tcW w:type="dxa" w:w="5043"/>
          </w:tcPr>
          <w:p>
            <w:r>
              <w:t>Cara siempre visible.</w:t>
            </w:r>
          </w:p>
        </w:tc>
        <w:tc>
          <w:tcPr>
            <w:tcW w:type="dxa" w:w="5043"/>
          </w:tcPr>
          <w:p>
            <w:r>
              <w:t>Uso del rojo como error principal.</w:t>
            </w:r>
          </w:p>
        </w:tc>
      </w:tr>
    </w:tbl>
    <w:p/>
    <w:p>
      <w:pPr>
        <w:pStyle w:val="Heading1"/>
      </w:pPr>
      <w:r>
        <w:t>11. Especificaciones técnicas de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>
              <w:t>Parámetro</w:t>
            </w:r>
          </w:p>
        </w:tc>
        <w:tc>
          <w:tcPr>
            <w:tcW w:type="dxa" w:w="5043"/>
            <w:shd w:fill="D9EAF7"/>
          </w:tcPr>
          <w:p>
            <w:r>
              <w:t>Recomendación</w:t>
            </w:r>
          </w:p>
        </w:tc>
      </w:tr>
      <w:tr>
        <w:tc>
          <w:tcPr>
            <w:tcW w:type="dxa" w:w="5043"/>
          </w:tcPr>
          <w:p>
            <w:r>
              <w:t>Formato</w:t>
            </w:r>
          </w:p>
        </w:tc>
        <w:tc>
          <w:tcPr>
            <w:tcW w:type="dxa" w:w="5043"/>
          </w:tcPr>
          <w:p>
            <w:r>
              <w:t>PNG con fondo transparente</w:t>
            </w:r>
          </w:p>
        </w:tc>
      </w:tr>
      <w:tr>
        <w:tc>
          <w:tcPr>
            <w:tcW w:type="dxa" w:w="5043"/>
          </w:tcPr>
          <w:p>
            <w:r>
              <w:t>Resolución mínima</w:t>
            </w:r>
          </w:p>
        </w:tc>
        <w:tc>
          <w:tcPr>
            <w:tcW w:type="dxa" w:w="5043"/>
          </w:tcPr>
          <w:p>
            <w:r>
              <w:t>1000 px en el lado mayor</w:t>
            </w:r>
          </w:p>
        </w:tc>
      </w:tr>
      <w:tr>
        <w:tc>
          <w:tcPr>
            <w:tcW w:type="dxa" w:w="5043"/>
          </w:tcPr>
          <w:p>
            <w:r>
              <w:t>Color</w:t>
            </w:r>
          </w:p>
        </w:tc>
        <w:tc>
          <w:tcPr>
            <w:tcW w:type="dxa" w:w="5043"/>
          </w:tcPr>
          <w:p>
            <w:r>
              <w:t>RGB, preparado para web</w:t>
            </w:r>
          </w:p>
        </w:tc>
      </w:tr>
      <w:tr>
        <w:tc>
          <w:tcPr>
            <w:tcW w:type="dxa" w:w="5043"/>
          </w:tcPr>
          <w:p>
            <w:r>
              <w:t>Fondo</w:t>
            </w:r>
          </w:p>
        </w:tc>
        <w:tc>
          <w:tcPr>
            <w:tcW w:type="dxa" w:w="5043"/>
          </w:tcPr>
          <w:p>
            <w:r>
              <w:t>Transparente; sin sombras que parezcan suelo</w:t>
            </w:r>
          </w:p>
        </w:tc>
      </w:tr>
      <w:tr>
        <w:tc>
          <w:tcPr>
            <w:tcW w:type="dxa" w:w="5043"/>
          </w:tcPr>
          <w:p>
            <w:r>
              <w:t>Capas</w:t>
            </w:r>
          </w:p>
        </w:tc>
        <w:tc>
          <w:tcPr>
            <w:tcW w:type="dxa" w:w="5043"/>
          </w:tcPr>
          <w:p>
            <w:r>
              <w:t>Una pieza por asset</w:t>
            </w:r>
          </w:p>
        </w:tc>
      </w:tr>
      <w:tr>
        <w:tc>
          <w:tcPr>
            <w:tcW w:type="dxa" w:w="5043"/>
          </w:tcPr>
          <w:p>
            <w:r>
              <w:t>Legibilidad</w:t>
            </w:r>
          </w:p>
        </w:tc>
        <w:tc>
          <w:tcPr>
            <w:tcW w:type="dxa" w:w="5043"/>
          </w:tcPr>
          <w:p>
            <w:r>
              <w:t>Debe funcionar en tablet a tamaño pequeño</w:t>
            </w:r>
          </w:p>
        </w:tc>
      </w:tr>
    </w:tbl>
    <w:p/>
    <w:p>
      <w:pPr>
        <w:pStyle w:val="Heading1"/>
      </w:pPr>
      <w:r>
        <w:t>12. Checklist de aprobación</w:t>
      </w:r>
    </w:p>
    <w:p>
      <w:pPr>
        <w:ind w:left="227" w:hanging="142"/>
      </w:pPr>
      <w:r>
        <w:rPr>
          <w:sz w:val="21"/>
        </w:rPr>
        <w:t>• ¿Se reconoce al personaje en menos de dos segundos?</w:t>
      </w:r>
    </w:p>
    <w:p>
      <w:pPr>
        <w:ind w:left="227" w:hanging="142"/>
      </w:pPr>
      <w:r>
        <w:rPr>
          <w:sz w:val="21"/>
        </w:rPr>
        <w:t>• ¿La pieza mantiene coherencia con los assets ya hechos?</w:t>
      </w:r>
    </w:p>
    <w:p>
      <w:pPr>
        <w:ind w:left="227" w:hanging="142"/>
      </w:pPr>
      <w:r>
        <w:rPr>
          <w:sz w:val="21"/>
        </w:rPr>
        <w:t>• ¿El color respeta la lógica del juego?</w:t>
      </w:r>
    </w:p>
    <w:p>
      <w:pPr>
        <w:ind w:left="227" w:hanging="142"/>
      </w:pPr>
      <w:r>
        <w:rPr>
          <w:sz w:val="21"/>
        </w:rPr>
        <w:t>• ¿La expresión comunica exactamente el estado emocional?</w:t>
      </w:r>
    </w:p>
    <w:p>
      <w:pPr>
        <w:ind w:left="227" w:hanging="142"/>
      </w:pPr>
      <w:r>
        <w:rPr>
          <w:sz w:val="21"/>
        </w:rPr>
        <w:t>• ¿La pieza funciona sobre interfaz clara y en miniatura?</w:t>
      </w:r>
    </w:p>
    <w:p>
      <w:pPr>
        <w:ind w:left="227" w:hanging="142"/>
      </w:pPr>
      <w:r>
        <w:rPr>
          <w:sz w:val="21"/>
        </w:rPr>
        <w:t>• ¿No parece un asset de examen ni un icono corporativo?</w:t>
      </w:r>
    </w:p>
    <w:p>
      <w:pPr>
        <w:ind w:left="227" w:hanging="142"/>
      </w:pPr>
      <w:r>
        <w:rPr>
          <w:sz w:val="21"/>
        </w:rPr>
        <w:t>• ¿El estilo sería consistente en toda una colección de 20-30 piezas?</w:t>
      </w:r>
    </w:p>
    <w:p>
      <w:pPr>
        <w:pStyle w:val="Heading1"/>
      </w:pPr>
      <w:r>
        <w:t>13. Próxima fase recomendada</w:t>
      </w:r>
    </w:p>
    <w:p>
      <w:r>
        <w:t>Con esta guía aprobada, la siguiente acción lógica es producir un set cerrado de assets prioritarios: insignias de estrategia, emblemas de modo y escudos de estadio, todos bajo la misma gramática visual.</w:t>
      </w:r>
    </w:p>
    <w:p>
      <w:r>
        <w:br w:type="page"/>
      </w:r>
    </w:p>
    <w:p>
      <w:pPr>
        <w:pStyle w:val="Heading1"/>
      </w:pPr>
      <w:r>
        <w:t>Apéndice A. Notas de uso para el artista</w:t>
      </w:r>
    </w:p>
    <w:p>
      <w:pPr>
        <w:ind w:left="227" w:hanging="142"/>
      </w:pPr>
      <w:r>
        <w:rPr>
          <w:sz w:val="21"/>
        </w:rPr>
        <w:t>• Usar la referencia del jugador como base para todo el lenguaje de Guardián.</w:t>
      </w:r>
    </w:p>
    <w:p>
      <w:pPr>
        <w:ind w:left="227" w:hanging="142"/>
      </w:pPr>
      <w:r>
        <w:rPr>
          <w:sz w:val="21"/>
        </w:rPr>
        <w:t>• Usar Capi como patrón de mentor: cercano, técnico, optimista, con expresión de guía.</w:t>
      </w:r>
    </w:p>
    <w:p>
      <w:pPr>
        <w:ind w:left="227" w:hanging="142"/>
      </w:pPr>
      <w:r>
        <w:rPr>
          <w:sz w:val="21"/>
        </w:rPr>
        <w:t>• Mantener la cara legible incluso cuando el cuerpo cambie de pose.</w:t>
      </w:r>
    </w:p>
    <w:p>
      <w:pPr>
        <w:ind w:left="227" w:hanging="142"/>
      </w:pPr>
      <w:r>
        <w:rPr>
          <w:sz w:val="21"/>
        </w:rPr>
        <w:t>• Conservar el equilibrio entre energía deportiva y claridad infantil.</w:t>
      </w:r>
    </w:p>
    <w:p>
      <w:pPr>
        <w:ind w:left="227" w:hanging="142"/>
      </w:pPr>
      <w:r>
        <w:rPr>
          <w:sz w:val="21"/>
        </w:rPr>
        <w:t>• No introducir marcas reales, escudos reales ni rasgos que remitan a futbolistas concretos.</w:t>
      </w:r>
    </w:p>
    <w:p>
      <w:pPr>
        <w:pStyle w:val="Heading1"/>
      </w:pPr>
      <w:r>
        <w:t>Apéndice B. Resumen ejecutivo</w:t>
      </w:r>
    </w:p>
    <w:p>
      <w:r>
        <w:t>La dirección artística de La Liga Eterna debe sentirse como una colección de héroes deportivos entrañables dentro de una app moderna: clara, animada, cálida y totalmente funcional para iPad.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Documento de producción visual · Paso 1 · </w:t>
    </w:r>
    <w:r>
      <w:rPr>
        <w:color w:val="64646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7"/>
      </w:rPr>
      <w:t>La Liga Eterna — Style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E34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554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0F244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