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102A43"/>
          <w:sz w:val="52"/>
          <w:szCs w:val="52"/>
        </w:rPr>
        <w:t xml:space="preserve">MEMORIA DESCRIPTIVA</w:t>
      </w:r>
    </w:p>
    <w:p>
      <w:pPr>
        <w:spacing w:after="0" w:before="120"/>
        <w:jc w:val="center"/>
      </w:pPr>
      <w:r>
        <w:rPr>
          <w:rFonts w:ascii="Calibri" w:cs="Calibri" w:eastAsia="Calibri" w:hAnsi="Calibri"/>
          <w:color w:val="0F766E"/>
          <w:sz w:val="30"/>
          <w:szCs w:val="30"/>
        </w:rPr>
        <w:t xml:space="preserve">Solicitud de ampliación de inscripción</w:t>
      </w:r>
    </w:p>
    <w:p>
      <w:pPr>
        <w:spacing w:after="0" w:before="40"/>
        <w:jc w:val="center"/>
      </w:pPr>
      <w:r>
        <w:rPr>
          <w:rFonts w:ascii="Calibri" w:cs="Calibri" w:eastAsia="Calibri" w:hAnsi="Calibri"/>
          <w:color w:val="5B6570"/>
          <w:sz w:val="24"/>
          <w:szCs w:val="24"/>
        </w:rPr>
        <w:t xml:space="preserve">Registro Territorial de la Propiedad Intelectual de la Región de Murcia</w:t>
      </w:r>
    </w:p>
    <w:p>
      <w:pPr>
        <w:pBdr>
          <w:top w:val="single" w:color="0F766E" w:sz="8"/>
          <w:bottom w:val="single" w:color="0F766E" w:sz="8"/>
        </w:pBdr>
        <w:spacing w:after="0" w:before="700"/>
        <w:jc w:val="center"/>
      </w:pPr>
      <w:r>
        <w:rPr>
          <w:sz w:val="6"/>
          <w:szCs w:val="6"/>
        </w:rPr>
        <w:t xml:space="preserve"/>
      </w:r>
    </w:p>
    <w:p>
      <w:pPr>
        <w:spacing w:after="0" w:before="320"/>
        <w:jc w:val="center"/>
      </w:pPr>
      <w:r>
        <w:rPr>
          <w:rFonts w:ascii="Calibri" w:cs="Calibri" w:eastAsia="Calibri" w:hAnsi="Calibri"/>
          <w:b/>
          <w:bCs/>
          <w:color w:val="102A43"/>
          <w:sz w:val="44"/>
          <w:szCs w:val="44"/>
        </w:rPr>
        <w:t xml:space="preserve">TALLER DE SINTAXIS</w:t>
      </w:r>
    </w:p>
    <w:p>
      <w:pPr>
        <w:spacing w:after="0" w:before="40"/>
        <w:jc w:val="center"/>
      </w:pPr>
      <w:r>
        <w:rPr>
          <w:rFonts w:ascii="Calibri" w:cs="Calibri" w:eastAsia="Calibri" w:hAnsi="Calibri"/>
          <w:i/>
          <w:iCs/>
          <w:color w:val="5B6570"/>
          <w:sz w:val="24"/>
          <w:szCs w:val="24"/>
        </w:rPr>
        <w:t xml:space="preserve">Aplicación web educativa para el análisis morfológico y sintáctico</w:t>
      </w:r>
    </w:p>
    <w:p>
      <w:pPr>
        <w:spacing w:after="0" w:before="40"/>
        <w:jc w:val="center"/>
      </w:pPr>
      <w:r>
        <w:rPr>
          <w:rFonts w:ascii="Calibri" w:cs="Calibri" w:eastAsia="Calibri" w:hAnsi="Calibri"/>
          <w:i/>
          <w:iCs/>
          <w:color w:val="5B6570"/>
          <w:sz w:val="24"/>
          <w:szCs w:val="24"/>
        </w:rPr>
        <w:t xml:space="preserve">de la lengua española (ESO y Bachillerato)</w:t>
      </w:r>
    </w:p>
    <w:p>
      <w:pPr>
        <w:spacing w:after="0" w:before="300"/>
        <w:jc w:val="center"/>
      </w:pPr>
      <w:r>
        <w:rPr>
          <w:rFonts w:ascii="Calibri" w:cs="Calibri" w:eastAsia="Calibri" w:hAnsi="Calibri"/>
          <w:b/>
          <w:bCs/>
          <w:color w:val="0F766E"/>
          <w:sz w:val="28"/>
          <w:szCs w:val="28"/>
        </w:rPr>
        <w:t xml:space="preserve">Versión 6.2</w:t>
      </w:r>
    </w:p>
    <w:p>
      <w:pPr>
        <w:spacing w:after="0" w:before="900"/>
        <w:jc w:val="center"/>
      </w:pPr>
      <w:r>
        <w:rPr>
          <w:rFonts w:ascii="Calibri" w:cs="Calibri" w:eastAsia="Calibri" w:hAnsi="Calibri"/>
          <w:b/>
          <w:bCs/>
          <w:color w:val="B00020"/>
          <w:sz w:val="22"/>
          <w:szCs w:val="22"/>
          <w:highlight w:val="yellow"/>
          <w:highlightCs w:val="yellow"/>
        </w:rPr>
        <w:t xml:space="preserve">[Autor y titular: nombre y apellidos · DNI]</w:t>
      </w:r>
    </w:p>
    <w:p>
      <w:pPr>
        <w:spacing w:after="0" w:before="40"/>
        <w:jc w:val="center"/>
      </w:pPr>
      <w:r>
        <w:rPr>
          <w:rFonts w:ascii="Calibri" w:cs="Calibri" w:eastAsia="Calibri" w:hAnsi="Calibri"/>
          <w:color w:val="5B6570"/>
          <w:sz w:val="22"/>
          <w:szCs w:val="22"/>
        </w:rPr>
        <w:t xml:space="preserve">Murcia, julio de 2026</w:t>
      </w:r>
    </w:p>
    <w:p>
      <w:r>
        <w:br w:type="page"/>
      </w:r>
    </w:p>
    <w:p>
      <w:pPr>
        <w:pStyle w:val="Heading1"/>
        <w:spacing w:after="140" w:before="320"/>
      </w:pPr>
      <w:r>
        <w:rPr>
          <w:rFonts w:ascii="Calibri" w:cs="Calibri" w:eastAsia="Calibri" w:hAnsi="Calibri"/>
          <w:b/>
          <w:bCs/>
          <w:color w:val="102A43"/>
          <w:sz w:val="30"/>
          <w:szCs w:val="30"/>
        </w:rPr>
        <w:t xml:space="preserve">Datos que debe completar el solicitante</w:t>
      </w:r>
    </w:p>
    <w:p>
      <w:pPr>
        <w:spacing w:after="120" w:line="276"/>
        <w:jc w:val="both"/>
      </w:pPr>
      <w:r>
        <w:rPr>
          <w:rFonts w:ascii="Calibri" w:cs="Calibri" w:eastAsia="Calibri" w:hAnsi="Calibri"/>
          <w:b w:val="false"/>
          <w:bCs w:val="false"/>
          <w:i w:val="false"/>
          <w:iCs w:val="false"/>
          <w:color w:val="222222"/>
          <w:sz w:val="22"/>
          <w:szCs w:val="22"/>
        </w:rPr>
        <w:t xml:space="preserve">Este documento contiene, resaltados en </w:t>
      </w:r>
      <w:r>
        <w:rPr>
          <w:rFonts w:ascii="Calibri" w:cs="Calibri" w:eastAsia="Calibri" w:hAnsi="Calibri"/>
          <w:b/>
          <w:bCs/>
          <w:i w:val="false"/>
          <w:iCs w:val="false"/>
          <w:color w:val="222222"/>
          <w:sz w:val="22"/>
          <w:szCs w:val="22"/>
        </w:rPr>
        <w:t xml:space="preserve">amarillo</w:t>
      </w:r>
      <w:r>
        <w:rPr>
          <w:rFonts w:ascii="Calibri" w:cs="Calibri" w:eastAsia="Calibri" w:hAnsi="Calibri"/>
          <w:b w:val="false"/>
          <w:bCs w:val="false"/>
          <w:i w:val="false"/>
          <w:iCs w:val="false"/>
          <w:color w:val="222222"/>
          <w:sz w:val="22"/>
          <w:szCs w:val="22"/>
        </w:rPr>
        <w:t xml:space="preserve">, los datos que solo obran en poder del solicitante y que deben rellenarse antes de presentar la solicitud. El resto del contenido describe con fidelidad el estado real del programa a fecha de julio de 2026.</w:t>
      </w:r>
    </w:p>
    <w:p>
      <w:pPr>
        <w:pStyle w:val="ListParagraph"/>
        <w:numPr>
          <w:ilvl w:val="0"/>
          <w:numId w:val="2"/>
        </w:numPr>
        <w:spacing w:after="60" w:line="268"/>
      </w:pPr>
      <w:r>
        <w:rPr>
          <w:rFonts w:ascii="Calibri" w:cs="Calibri" w:eastAsia="Calibri" w:hAnsi="Calibri"/>
          <w:b w:val="false"/>
          <w:bCs w:val="false"/>
          <w:i w:val="false"/>
          <w:iCs w:val="false"/>
          <w:color w:val="222222"/>
          <w:sz w:val="22"/>
          <w:szCs w:val="22"/>
        </w:rPr>
        <w:t xml:space="preserve">Nombre y apellidos, DNI y domicilio del autor y titular de los derechos.</w:t>
      </w:r>
    </w:p>
    <w:p>
      <w:pPr>
        <w:pStyle w:val="ListParagraph"/>
        <w:numPr>
          <w:ilvl w:val="0"/>
          <w:numId w:val="2"/>
        </w:numPr>
        <w:spacing w:after="60" w:line="268"/>
      </w:pPr>
      <w:r>
        <w:rPr>
          <w:rFonts w:ascii="Calibri" w:cs="Calibri" w:eastAsia="Calibri" w:hAnsi="Calibri"/>
          <w:b w:val="false"/>
          <w:bCs w:val="false"/>
          <w:i w:val="false"/>
          <w:iCs w:val="false"/>
          <w:color w:val="222222"/>
          <w:sz w:val="22"/>
          <w:szCs w:val="22"/>
        </w:rPr>
        <w:t xml:space="preserve">Número de asiento registral (o número de expediente) de la inscripción originaria que ahora se amplía.</w:t>
      </w:r>
    </w:p>
    <w:p>
      <w:pPr>
        <w:pStyle w:val="ListParagraph"/>
        <w:numPr>
          <w:ilvl w:val="0"/>
          <w:numId w:val="2"/>
        </w:numPr>
        <w:spacing w:after="60" w:line="268"/>
      </w:pPr>
      <w:r>
        <w:rPr>
          <w:rFonts w:ascii="Calibri" w:cs="Calibri" w:eastAsia="Calibri" w:hAnsi="Calibri"/>
          <w:b w:val="false"/>
          <w:bCs w:val="false"/>
          <w:i w:val="false"/>
          <w:iCs w:val="false"/>
          <w:color w:val="222222"/>
          <w:sz w:val="22"/>
          <w:szCs w:val="22"/>
        </w:rPr>
        <w:t xml:space="preserve">Fecha de la inscripción originaria y versión del programa entonces inscrita.</w:t>
      </w:r>
    </w:p>
    <w:p>
      <w:pPr>
        <w:pStyle w:val="ListParagraph"/>
        <w:numPr>
          <w:ilvl w:val="0"/>
          <w:numId w:val="2"/>
        </w:numPr>
        <w:spacing w:after="60" w:line="268"/>
      </w:pPr>
      <w:r>
        <w:rPr>
          <w:rFonts w:ascii="Calibri" w:cs="Calibri" w:eastAsia="Calibri" w:hAnsi="Calibri"/>
          <w:b w:val="false"/>
          <w:bCs w:val="false"/>
          <w:i w:val="false"/>
          <w:iCs w:val="false"/>
          <w:color w:val="222222"/>
          <w:sz w:val="22"/>
          <w:szCs w:val="22"/>
        </w:rPr>
        <w:t xml:space="preserve">En su caso, referencia del soporte (CD/DVD/USB o depósito telemático) en el que se aporta el código fuente identificativo de esta versión.</w:t>
      </w:r>
    </w:p>
    <w:p>
      <w:pPr>
        <w:spacing w:after="80"/>
      </w:pPr>
    </w:p>
    <w:p>
      <w:r>
        <w:br w:type="page"/>
      </w:r>
    </w:p>
    <w:p>
      <w:pPr>
        <w:pStyle w:val="Heading1"/>
        <w:spacing w:after="140" w:before="320"/>
      </w:pPr>
      <w:r>
        <w:rPr>
          <w:rFonts w:ascii="Calibri" w:cs="Calibri" w:eastAsia="Calibri" w:hAnsi="Calibri"/>
          <w:b/>
          <w:bCs/>
          <w:color w:val="102A43"/>
          <w:sz w:val="30"/>
          <w:szCs w:val="30"/>
        </w:rP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b/>
          <w:bCs/>
          <w:color w:val="102A43"/>
          <w:sz w:val="30"/>
          <w:szCs w:val="30"/>
        </w:rPr>
        <w:t xml:space="preserve">1.  Datos identificativos de la obra</w:t>
      </w:r>
    </w:p>
    <w:p>
      <w:pPr>
        <w:spacing w:after="120" w:line="276"/>
        <w:jc w:val="both"/>
      </w:pPr>
      <w:r>
        <w:rPr>
          <w:rFonts w:ascii="Calibri" w:cs="Calibri" w:eastAsia="Calibri" w:hAnsi="Calibri"/>
          <w:sz w:val="22"/>
          <w:szCs w:val="22"/>
        </w:rPr>
        <w:t xml:space="preserve">A los efectos del artículo 10.1.i) del texto refundido de la Ley de Propiedad Intelectual, que reconoce los programas de ordenador como obras protegidas, se identifica la obra objeto de ampliación en los siguientes términos:</w:t>
      </w:r>
    </w:p>
    <w:p>
      <w:pPr>
        <w:spacing w:after="40"/>
      </w:pPr>
    </w:p>
    <w:tbl>
      <w:tblPr>
        <w:tblW w:type="dxa" w:w="9200"/>
        <w:tblBorders>
          <w:top w:val="single" w:color="CCCCCC" w:sz="4"/>
          <w:left w:val="single" w:color="CCCCCC" w:sz="4"/>
          <w:bottom w:val="single" w:color="CCCCCC" w:sz="4"/>
          <w:right w:val="single" w:color="CCCCCC" w:sz="4"/>
          <w:insideH w:val="single" w:color="DDDDDD" w:sz="4"/>
          <w:insideV w:val="single" w:color="DDDDDD" w:sz="4"/>
        </w:tblBorders>
      </w:tblPr>
      <w:tblGrid>
        <w:gridCol w:w="3200"/>
        <w:gridCol w:w="6000"/>
      </w:tblGrid>
      <w:tr>
        <w:tc>
          <w:tcPr>
            <w:tcW w:type="dxa" w:w="3200"/>
            <w:shd w:fill="F2F0EA" w:color="auto" w:val="clear"/>
            <w:tcMar>
              <w:top w:type="dxa" w:w="60"/>
              <w:left w:type="dxa" w:w="120"/>
              <w:bottom w:type="dxa" w:w="60"/>
              <w:right w:type="dxa" w:w="120"/>
            </w:tcMar>
          </w:tcPr>
          <w:p>
            <w:pPr>
              <w:spacing w:after="0"/>
            </w:pPr>
            <w:r>
              <w:rPr>
                <w:rFonts w:ascii="Calibri" w:cs="Calibri" w:eastAsia="Calibri" w:hAnsi="Calibri"/>
                <w:b/>
                <w:bCs/>
                <w:i w:val="false"/>
                <w:iCs w:val="false"/>
                <w:color w:val="102A43"/>
                <w:sz w:val="22"/>
                <w:szCs w:val="22"/>
              </w:rPr>
              <w:t xml:space="preserve">Título de la obra</w:t>
            </w:r>
          </w:p>
        </w:tc>
        <w:tc>
          <w:tcPr>
            <w:tcW w:type="dxa" w:w="6000"/>
            <w:tcMar>
              <w:top w:type="dxa" w:w="60"/>
              <w:left w:type="dxa" w:w="120"/>
              <w:bottom w:type="dxa" w:w="60"/>
              <w:right w:type="dxa" w:w="120"/>
            </w:tcMar>
          </w:tcPr>
          <w:p>
            <w:pPr>
              <w:spacing w:after="0"/>
            </w:pPr>
            <w:r>
              <w:rPr>
                <w:rFonts w:ascii="Calibri" w:cs="Calibri" w:eastAsia="Calibri" w:hAnsi="Calibri"/>
                <w:b w:val="false"/>
                <w:bCs w:val="false"/>
                <w:i w:val="false"/>
                <w:iCs w:val="false"/>
                <w:color w:val="222222"/>
                <w:sz w:val="22"/>
                <w:szCs w:val="22"/>
              </w:rPr>
              <w:t xml:space="preserve">Taller de Sintaxis</w:t>
            </w:r>
          </w:p>
        </w:tc>
      </w:tr>
      <w:tr>
        <w:tc>
          <w:tcPr>
            <w:tcW w:type="dxa" w:w="3200"/>
            <w:shd w:fill="F2F0EA" w:color="auto" w:val="clear"/>
            <w:tcMar>
              <w:top w:type="dxa" w:w="60"/>
              <w:left w:type="dxa" w:w="120"/>
              <w:bottom w:type="dxa" w:w="60"/>
              <w:right w:type="dxa" w:w="120"/>
            </w:tcMar>
          </w:tcPr>
          <w:p>
            <w:pPr>
              <w:spacing w:after="0"/>
            </w:pPr>
            <w:r>
              <w:rPr>
                <w:rFonts w:ascii="Calibri" w:cs="Calibri" w:eastAsia="Calibri" w:hAnsi="Calibri"/>
                <w:b/>
                <w:bCs/>
                <w:i w:val="false"/>
                <w:iCs w:val="false"/>
                <w:color w:val="102A43"/>
                <w:sz w:val="22"/>
                <w:szCs w:val="22"/>
              </w:rPr>
              <w:t xml:space="preserve">Naturaleza</w:t>
            </w:r>
          </w:p>
        </w:tc>
        <w:tc>
          <w:tcPr>
            <w:tcW w:type="dxa" w:w="6000"/>
            <w:tcMar>
              <w:top w:type="dxa" w:w="60"/>
              <w:left w:type="dxa" w:w="120"/>
              <w:bottom w:type="dxa" w:w="60"/>
              <w:right w:type="dxa" w:w="120"/>
            </w:tcMar>
          </w:tcPr>
          <w:p>
            <w:pPr>
              <w:spacing w:after="0"/>
            </w:pPr>
            <w:r>
              <w:rPr>
                <w:rFonts w:ascii="Calibri" w:cs="Calibri" w:eastAsia="Calibri" w:hAnsi="Calibri"/>
                <w:b w:val="false"/>
                <w:bCs w:val="false"/>
                <w:i w:val="false"/>
                <w:iCs w:val="false"/>
                <w:color w:val="222222"/>
                <w:sz w:val="22"/>
                <w:szCs w:val="22"/>
              </w:rPr>
              <w:t xml:space="preserve">Programa de ordenador (aplicación web educativa)</w:t>
            </w:r>
          </w:p>
        </w:tc>
      </w:tr>
      <w:tr>
        <w:tc>
          <w:tcPr>
            <w:tcW w:type="dxa" w:w="3200"/>
            <w:shd w:fill="F2F0EA" w:color="auto" w:val="clear"/>
            <w:tcMar>
              <w:top w:type="dxa" w:w="60"/>
              <w:left w:type="dxa" w:w="120"/>
              <w:bottom w:type="dxa" w:w="60"/>
              <w:right w:type="dxa" w:w="120"/>
            </w:tcMar>
          </w:tcPr>
          <w:p>
            <w:pPr>
              <w:spacing w:after="0"/>
            </w:pPr>
            <w:r>
              <w:rPr>
                <w:rFonts w:ascii="Calibri" w:cs="Calibri" w:eastAsia="Calibri" w:hAnsi="Calibri"/>
                <w:b/>
                <w:bCs/>
                <w:i w:val="false"/>
                <w:iCs w:val="false"/>
                <w:color w:val="102A43"/>
                <w:sz w:val="22"/>
                <w:szCs w:val="22"/>
              </w:rPr>
              <w:t xml:space="preserve">Clase de obra</w:t>
            </w:r>
          </w:p>
        </w:tc>
        <w:tc>
          <w:tcPr>
            <w:tcW w:type="dxa" w:w="6000"/>
            <w:tcMar>
              <w:top w:type="dxa" w:w="60"/>
              <w:left w:type="dxa" w:w="120"/>
              <w:bottom w:type="dxa" w:w="60"/>
              <w:right w:type="dxa" w:w="120"/>
            </w:tcMar>
          </w:tcPr>
          <w:p>
            <w:pPr>
              <w:spacing w:after="0"/>
            </w:pPr>
            <w:r>
              <w:rPr>
                <w:rFonts w:ascii="Calibri" w:cs="Calibri" w:eastAsia="Calibri" w:hAnsi="Calibri"/>
                <w:b w:val="false"/>
                <w:bCs w:val="false"/>
                <w:i w:val="false"/>
                <w:iCs w:val="false"/>
                <w:color w:val="222222"/>
                <w:sz w:val="22"/>
                <w:szCs w:val="22"/>
              </w:rPr>
              <w:t xml:space="preserve">Software original, de carácter didáctico</w:t>
            </w:r>
          </w:p>
        </w:tc>
      </w:tr>
      <w:tr>
        <w:tc>
          <w:tcPr>
            <w:tcW w:type="dxa" w:w="3200"/>
            <w:shd w:fill="F2F0EA" w:color="auto" w:val="clear"/>
            <w:tcMar>
              <w:top w:type="dxa" w:w="60"/>
              <w:left w:type="dxa" w:w="120"/>
              <w:bottom w:type="dxa" w:w="60"/>
              <w:right w:type="dxa" w:w="120"/>
            </w:tcMar>
          </w:tcPr>
          <w:p>
            <w:pPr>
              <w:spacing w:after="0"/>
            </w:pPr>
            <w:r>
              <w:rPr>
                <w:rFonts w:ascii="Calibri" w:cs="Calibri" w:eastAsia="Calibri" w:hAnsi="Calibri"/>
                <w:b/>
                <w:bCs/>
                <w:i w:val="false"/>
                <w:iCs w:val="false"/>
                <w:color w:val="102A43"/>
                <w:sz w:val="22"/>
                <w:szCs w:val="22"/>
              </w:rPr>
              <w:t xml:space="preserve">Versión objeto de esta ampliación</w:t>
            </w:r>
          </w:p>
        </w:tc>
        <w:tc>
          <w:tcPr>
            <w:tcW w:type="dxa" w:w="6000"/>
            <w:tcMar>
              <w:top w:type="dxa" w:w="60"/>
              <w:left w:type="dxa" w:w="120"/>
              <w:bottom w:type="dxa" w:w="60"/>
              <w:right w:type="dxa" w:w="120"/>
            </w:tcMar>
          </w:tcPr>
          <w:p>
            <w:pPr>
              <w:spacing w:after="0"/>
            </w:pPr>
            <w:r>
              <w:rPr>
                <w:rFonts w:ascii="Calibri" w:cs="Calibri" w:eastAsia="Calibri" w:hAnsi="Calibri"/>
                <w:b w:val="false"/>
                <w:bCs w:val="false"/>
                <w:i w:val="false"/>
                <w:iCs w:val="false"/>
                <w:color w:val="222222"/>
                <w:sz w:val="22"/>
                <w:szCs w:val="22"/>
              </w:rPr>
              <w:t xml:space="preserve">Versión 6.2</w:t>
            </w:r>
          </w:p>
        </w:tc>
      </w:tr>
      <w:tr>
        <w:tc>
          <w:tcPr>
            <w:tcW w:type="dxa" w:w="3200"/>
            <w:shd w:fill="F2F0EA" w:color="auto" w:val="clear"/>
            <w:tcMar>
              <w:top w:type="dxa" w:w="60"/>
              <w:left w:type="dxa" w:w="120"/>
              <w:bottom w:type="dxa" w:w="60"/>
              <w:right w:type="dxa" w:w="120"/>
            </w:tcMar>
          </w:tcPr>
          <w:p>
            <w:pPr>
              <w:spacing w:after="0"/>
            </w:pPr>
            <w:r>
              <w:rPr>
                <w:rFonts w:ascii="Calibri" w:cs="Calibri" w:eastAsia="Calibri" w:hAnsi="Calibri"/>
                <w:b/>
                <w:bCs/>
                <w:i w:val="false"/>
                <w:iCs w:val="false"/>
                <w:color w:val="102A43"/>
                <w:sz w:val="22"/>
                <w:szCs w:val="22"/>
              </w:rPr>
              <w:t xml:space="preserve">Lenguajes de programación</w:t>
            </w:r>
          </w:p>
        </w:tc>
        <w:tc>
          <w:tcPr>
            <w:tcW w:type="dxa" w:w="6000"/>
            <w:tcMar>
              <w:top w:type="dxa" w:w="60"/>
              <w:left w:type="dxa" w:w="120"/>
              <w:bottom w:type="dxa" w:w="60"/>
              <w:right w:type="dxa" w:w="120"/>
            </w:tcMar>
          </w:tcPr>
          <w:p>
            <w:pPr>
              <w:spacing w:after="0"/>
            </w:pPr>
            <w:r>
              <w:rPr>
                <w:rFonts w:ascii="Calibri" w:cs="Calibri" w:eastAsia="Calibri" w:hAnsi="Calibri"/>
                <w:b w:val="false"/>
                <w:bCs w:val="false"/>
                <w:i w:val="false"/>
                <w:iCs w:val="false"/>
                <w:color w:val="222222"/>
                <w:sz w:val="22"/>
                <w:szCs w:val="22"/>
              </w:rPr>
              <w:t xml:space="preserve">JavaScript (ES6, módulos nativos), HTML5, CSS3 y Google Apps Script</w:t>
            </w:r>
          </w:p>
        </w:tc>
      </w:tr>
      <w:tr>
        <w:tc>
          <w:tcPr>
            <w:tcW w:type="dxa" w:w="3200"/>
            <w:shd w:fill="F2F0EA" w:color="auto" w:val="clear"/>
            <w:tcMar>
              <w:top w:type="dxa" w:w="60"/>
              <w:left w:type="dxa" w:w="120"/>
              <w:bottom w:type="dxa" w:w="60"/>
              <w:right w:type="dxa" w:w="120"/>
            </w:tcMar>
          </w:tcPr>
          <w:p>
            <w:pPr>
              <w:spacing w:after="0"/>
            </w:pPr>
            <w:r>
              <w:rPr>
                <w:rFonts w:ascii="Calibri" w:cs="Calibri" w:eastAsia="Calibri" w:hAnsi="Calibri"/>
                <w:b/>
                <w:bCs/>
                <w:i w:val="false"/>
                <w:iCs w:val="false"/>
                <w:color w:val="102A43"/>
                <w:sz w:val="22"/>
                <w:szCs w:val="22"/>
              </w:rPr>
              <w:t xml:space="preserve">Divulgación</w:t>
            </w:r>
          </w:p>
        </w:tc>
        <w:tc>
          <w:tcPr>
            <w:tcW w:type="dxa" w:w="6000"/>
            <w:tcMar>
              <w:top w:type="dxa" w:w="60"/>
              <w:left w:type="dxa" w:w="120"/>
              <w:bottom w:type="dxa" w:w="60"/>
              <w:right w:type="dxa" w:w="120"/>
            </w:tcMar>
          </w:tcPr>
          <w:p>
            <w:pPr>
              <w:spacing w:after="0"/>
            </w:pPr>
            <w:r>
              <w:rPr>
                <w:rFonts w:ascii="Calibri" w:cs="Calibri" w:eastAsia="Calibri" w:hAnsi="Calibri"/>
                <w:b w:val="false"/>
                <w:bCs w:val="false"/>
                <w:i w:val="false"/>
                <w:iCs w:val="false"/>
                <w:color w:val="222222"/>
                <w:sz w:val="22"/>
                <w:szCs w:val="22"/>
              </w:rPr>
              <w:t xml:space="preserve">Aplicación de uso educativo en el aula, accesible desde navegador web</w:t>
            </w:r>
          </w:p>
        </w:tc>
      </w:tr>
      <w:tr>
        <w:tc>
          <w:tcPr>
            <w:tcW w:type="dxa" w:w="3200"/>
            <w:shd w:fill="F2F0EA" w:color="auto" w:val="clear"/>
            <w:tcMar>
              <w:top w:type="dxa" w:w="60"/>
              <w:left w:type="dxa" w:w="120"/>
              <w:bottom w:type="dxa" w:w="60"/>
              <w:right w:type="dxa" w:w="120"/>
            </w:tcMar>
          </w:tcPr>
          <w:p>
            <w:pPr>
              <w:spacing w:after="0"/>
            </w:pPr>
            <w:r>
              <w:rPr>
                <w:rFonts w:ascii="Calibri" w:cs="Calibri" w:eastAsia="Calibri" w:hAnsi="Calibri"/>
                <w:b/>
                <w:bCs/>
                <w:i w:val="false"/>
                <w:iCs w:val="false"/>
                <w:color w:val="102A43"/>
                <w:sz w:val="22"/>
                <w:szCs w:val="22"/>
              </w:rPr>
              <w:t xml:space="preserve">Autor y titular de los derechos</w:t>
            </w:r>
          </w:p>
        </w:tc>
        <w:tc>
          <w:tcPr>
            <w:tcW w:type="dxa" w:w="6000"/>
            <w:tcMar>
              <w:top w:type="dxa" w:w="60"/>
              <w:left w:type="dxa" w:w="120"/>
              <w:bottom w:type="dxa" w:w="60"/>
              <w:right w:type="dxa" w:w="120"/>
            </w:tcMar>
          </w:tcPr>
          <w:p>
            <w:pPr>
              <w:spacing w:after="0"/>
            </w:pPr>
            <w:r>
              <w:rPr>
                <w:rFonts w:ascii="Calibri" w:cs="Calibri" w:eastAsia="Calibri" w:hAnsi="Calibri"/>
                <w:b/>
                <w:bCs/>
                <w:color w:val="B00020"/>
                <w:sz w:val="22"/>
                <w:szCs w:val="22"/>
                <w:highlight w:val="yellow"/>
                <w:highlightCs w:val="yellow"/>
              </w:rPr>
              <w:t xml:space="preserve">[Nombre y apellidos · DNI]</w:t>
            </w:r>
          </w:p>
        </w:tc>
      </w:tr>
      <w:tr>
        <w:tc>
          <w:tcPr>
            <w:tcW w:type="dxa" w:w="3200"/>
            <w:shd w:fill="F2F0EA" w:color="auto" w:val="clear"/>
            <w:tcMar>
              <w:top w:type="dxa" w:w="60"/>
              <w:left w:type="dxa" w:w="120"/>
              <w:bottom w:type="dxa" w:w="60"/>
              <w:right w:type="dxa" w:w="120"/>
            </w:tcMar>
          </w:tcPr>
          <w:p>
            <w:pPr>
              <w:spacing w:after="0"/>
            </w:pPr>
            <w:r>
              <w:rPr>
                <w:rFonts w:ascii="Calibri" w:cs="Calibri" w:eastAsia="Calibri" w:hAnsi="Calibri"/>
                <w:b/>
                <w:bCs/>
                <w:i w:val="false"/>
                <w:iCs w:val="false"/>
                <w:color w:val="102A43"/>
                <w:sz w:val="22"/>
                <w:szCs w:val="22"/>
              </w:rPr>
              <w:t xml:space="preserve">Inscripción originaria que se amplía</w:t>
            </w:r>
          </w:p>
        </w:tc>
        <w:tc>
          <w:tcPr>
            <w:tcW w:type="dxa" w:w="6000"/>
            <w:tcMar>
              <w:top w:type="dxa" w:w="60"/>
              <w:left w:type="dxa" w:w="120"/>
              <w:bottom w:type="dxa" w:w="60"/>
              <w:right w:type="dxa" w:w="120"/>
            </w:tcMar>
          </w:tcPr>
          <w:p>
            <w:pPr>
              <w:spacing w:after="0"/>
            </w:pPr>
            <w:r>
              <w:rPr>
                <w:rFonts w:ascii="Calibri" w:cs="Calibri" w:eastAsia="Calibri" w:hAnsi="Calibri"/>
                <w:b/>
                <w:bCs/>
                <w:color w:val="B00020"/>
                <w:sz w:val="22"/>
                <w:szCs w:val="22"/>
                <w:highlight w:val="yellow"/>
                <w:highlightCs w:val="yellow"/>
              </w:rPr>
              <w:t xml:space="preserve">[Nº de asiento registral / expediente y fecha]</w:t>
            </w:r>
          </w:p>
        </w:tc>
      </w:tr>
      <w:tr>
        <w:tc>
          <w:tcPr>
            <w:tcW w:type="dxa" w:w="3200"/>
            <w:shd w:fill="F2F0EA" w:color="auto" w:val="clear"/>
            <w:tcMar>
              <w:top w:type="dxa" w:w="60"/>
              <w:left w:type="dxa" w:w="120"/>
              <w:bottom w:type="dxa" w:w="60"/>
              <w:right w:type="dxa" w:w="120"/>
            </w:tcMar>
          </w:tcPr>
          <w:p>
            <w:pPr>
              <w:spacing w:after="0"/>
            </w:pPr>
            <w:r>
              <w:rPr>
                <w:rFonts w:ascii="Calibri" w:cs="Calibri" w:eastAsia="Calibri" w:hAnsi="Calibri"/>
                <w:b/>
                <w:bCs/>
                <w:i w:val="false"/>
                <w:iCs w:val="false"/>
                <w:color w:val="102A43"/>
                <w:sz w:val="22"/>
                <w:szCs w:val="22"/>
              </w:rPr>
              <w:t xml:space="preserve">Versión originalmente inscrita</w:t>
            </w:r>
          </w:p>
        </w:tc>
        <w:tc>
          <w:tcPr>
            <w:tcW w:type="dxa" w:w="6000"/>
            <w:tcMar>
              <w:top w:type="dxa" w:w="60"/>
              <w:left w:type="dxa" w:w="120"/>
              <w:bottom w:type="dxa" w:w="60"/>
              <w:right w:type="dxa" w:w="120"/>
            </w:tcMar>
          </w:tcPr>
          <w:p>
            <w:pPr>
              <w:spacing w:after="0"/>
            </w:pPr>
            <w:r>
              <w:rPr>
                <w:rFonts w:ascii="Calibri" w:cs="Calibri" w:eastAsia="Calibri" w:hAnsi="Calibri"/>
                <w:b/>
                <w:bCs/>
                <w:color w:val="B00020"/>
                <w:sz w:val="22"/>
                <w:szCs w:val="22"/>
                <w:highlight w:val="yellow"/>
                <w:highlightCs w:val="yellow"/>
              </w:rPr>
              <w:t xml:space="preserve">[Versión y fecha de la inscripción anterior]</w:t>
            </w:r>
          </w:p>
        </w:tc>
      </w:tr>
    </w:tbl>
    <w:p>
      <w:pPr>
        <w:spacing w:after="80"/>
      </w:pPr>
    </w:p>
    <w:p>
      <w:pPr>
        <w:pStyle w:val="Heading1"/>
        <w:spacing w:after="140" w:before="320"/>
      </w:pPr>
      <w:r>
        <w:rPr>
          <w:rFonts w:ascii="Calibri" w:cs="Calibri" w:eastAsia="Calibri" w:hAnsi="Calibri"/>
          <w:b/>
          <w:bCs/>
          <w:color w:val="102A43"/>
          <w:sz w:val="30"/>
          <w:szCs w:val="30"/>
        </w:rPr>
        <w:t xml:space="preserve">2.  Objeto de la presente ampliación</w:t>
      </w:r>
    </w:p>
    <w:p>
      <w:pPr>
        <w:spacing w:after="120" w:line="276"/>
        <w:jc w:val="both"/>
      </w:pPr>
      <w:r>
        <w:rPr>
          <w:rFonts w:ascii="Calibri" w:cs="Calibri" w:eastAsia="Calibri" w:hAnsi="Calibri"/>
          <w:sz w:val="22"/>
          <w:szCs w:val="22"/>
        </w:rPr>
        <w:t xml:space="preserve">La aplicación «Taller de Sintaxis», ya inscrita en el Registro, ha sido objeto de un desarrollo sustancial que incorpora nuevas funcionalidades, nuevos módulos didácticos y una reelaboración profunda de su arquitectura interna. La presente memoria tiene por objeto documentar dichas novedades a fin de ampliar la inscripción registral con la versión vigente del programa.</w:t>
      </w:r>
    </w:p>
    <w:p>
      <w:pPr>
        <w:spacing w:after="120" w:line="276"/>
        <w:jc w:val="both"/>
      </w:pPr>
      <w:r>
        <w:rPr>
          <w:rFonts w:ascii="Calibri" w:cs="Calibri" w:eastAsia="Calibri" w:hAnsi="Calibri"/>
          <w:sz w:val="22"/>
          <w:szCs w:val="22"/>
        </w:rPr>
        <w:t xml:space="preserve">Las principales novedades funcionales respecto de la versión anteriormente inscrita son las siguientes:</w:t>
      </w:r>
    </w:p>
    <w:p>
      <w:pPr>
        <w:pStyle w:val="ListParagraph"/>
        <w:numPr>
          <w:ilvl w:val="0"/>
          <w:numId w:val="2"/>
        </w:numPr>
        <w:spacing w:after="60" w:line="268"/>
      </w:pPr>
      <w:r>
        <w:rPr>
          <w:rFonts w:ascii="Calibri" w:cs="Calibri" w:eastAsia="Calibri" w:hAnsi="Calibri"/>
          <w:b/>
          <w:bCs/>
          <w:i w:val="false"/>
          <w:iCs w:val="false"/>
          <w:color w:val="222222"/>
          <w:sz w:val="22"/>
          <w:szCs w:val="22"/>
        </w:rPr>
        <w:t xml:space="preserve">Nuevo motor de análisis de la oración compuesta</w:t>
      </w:r>
      <w:r>
        <w:rPr>
          <w:rFonts w:ascii="Calibri" w:cs="Calibri" w:eastAsia="Calibri" w:hAnsi="Calibri"/>
          <w:b w:val="false"/>
          <w:bCs w:val="false"/>
          <w:i w:val="false"/>
          <w:iCs w:val="false"/>
          <w:color w:val="222222"/>
          <w:sz w:val="22"/>
          <w:szCs w:val="22"/>
        </w:rPr>
        <w:t xml:space="preserve">, que sustituye al análisis anterior por un sistema guiado en pasos, con delimitación de proposiciones, identificación de nexos y clasificación de la relación entre proposiciones (coordinación, subordinación y yuxtaposición).</w:t>
      </w:r>
    </w:p>
    <w:p>
      <w:pPr>
        <w:pStyle w:val="ListParagraph"/>
        <w:numPr>
          <w:ilvl w:val="0"/>
          <w:numId w:val="2"/>
        </w:numPr>
        <w:spacing w:after="60" w:line="268"/>
      </w:pPr>
      <w:r>
        <w:rPr>
          <w:rFonts w:ascii="Calibri" w:cs="Calibri" w:eastAsia="Calibri" w:hAnsi="Calibri"/>
          <w:b/>
          <w:bCs/>
          <w:i w:val="false"/>
          <w:iCs w:val="false"/>
          <w:color w:val="222222"/>
          <w:sz w:val="22"/>
          <w:szCs w:val="22"/>
        </w:rPr>
        <w:t xml:space="preserve">Nuevo modelo de análisis morfológico</w:t>
      </w:r>
      <w:r>
        <w:rPr>
          <w:rFonts w:ascii="Calibri" w:cs="Calibri" w:eastAsia="Calibri" w:hAnsi="Calibri"/>
          <w:b w:val="false"/>
          <w:bCs w:val="false"/>
          <w:i w:val="false"/>
          <w:iCs w:val="false"/>
          <w:color w:val="222222"/>
          <w:sz w:val="22"/>
          <w:szCs w:val="22"/>
        </w:rPr>
        <w:t xml:space="preserve"> estructurado en tres niveles curriculares (Categorías, Análisis y modelo PAU), con cascadas de preguntas adaptadas a cada curso y un sistema de calificación ponderada.</w:t>
      </w:r>
    </w:p>
    <w:p>
      <w:pPr>
        <w:pStyle w:val="ListParagraph"/>
        <w:numPr>
          <w:ilvl w:val="0"/>
          <w:numId w:val="2"/>
        </w:numPr>
        <w:spacing w:after="60" w:line="268"/>
      </w:pPr>
      <w:r>
        <w:rPr>
          <w:rFonts w:ascii="Calibri" w:cs="Calibri" w:eastAsia="Calibri" w:hAnsi="Calibri"/>
          <w:b/>
          <w:bCs/>
          <w:i w:val="false"/>
          <w:iCs w:val="false"/>
          <w:color w:val="222222"/>
          <w:sz w:val="22"/>
          <w:szCs w:val="22"/>
        </w:rPr>
        <w:t xml:space="preserve">Modo «Chispa»</w:t>
      </w:r>
      <w:r>
        <w:rPr>
          <w:rFonts w:ascii="Calibri" w:cs="Calibri" w:eastAsia="Calibri" w:hAnsi="Calibri"/>
          <w:b w:val="false"/>
          <w:bCs w:val="false"/>
          <w:i w:val="false"/>
          <w:iCs w:val="false"/>
          <w:color w:val="222222"/>
          <w:sz w:val="22"/>
          <w:szCs w:val="22"/>
        </w:rPr>
        <w:t xml:space="preserve">, modalidad nueva de identificación rápida de funciones sintácticas.</w:t>
      </w:r>
    </w:p>
    <w:p>
      <w:pPr>
        <w:pStyle w:val="ListParagraph"/>
        <w:numPr>
          <w:ilvl w:val="0"/>
          <w:numId w:val="2"/>
        </w:numPr>
        <w:spacing w:after="60" w:line="268"/>
      </w:pPr>
      <w:r>
        <w:rPr>
          <w:rFonts w:ascii="Calibri" w:cs="Calibri" w:eastAsia="Calibri" w:hAnsi="Calibri"/>
          <w:b/>
          <w:bCs/>
          <w:i w:val="false"/>
          <w:iCs w:val="false"/>
          <w:color w:val="222222"/>
          <w:sz w:val="22"/>
          <w:szCs w:val="22"/>
        </w:rPr>
        <w:t xml:space="preserve">Sistema de evaluación, calificación y envío de informes</w:t>
      </w:r>
      <w:r>
        <w:rPr>
          <w:rFonts w:ascii="Calibri" w:cs="Calibri" w:eastAsia="Calibri" w:hAnsi="Calibri"/>
          <w:b w:val="false"/>
          <w:bCs w:val="false"/>
          <w:i w:val="false"/>
          <w:iCs w:val="false"/>
          <w:color w:val="222222"/>
          <w:sz w:val="22"/>
          <w:szCs w:val="22"/>
        </w:rPr>
        <w:t xml:space="preserve">: modo examen protegido por PIN, registro de calificaciones, generación de informes para el profesorado y envío automático de resultados por correo a cada alumno.</w:t>
      </w:r>
    </w:p>
    <w:p>
      <w:pPr>
        <w:pStyle w:val="ListParagraph"/>
        <w:numPr>
          <w:ilvl w:val="0"/>
          <w:numId w:val="2"/>
        </w:numPr>
        <w:spacing w:after="60" w:line="268"/>
      </w:pPr>
      <w:r>
        <w:rPr>
          <w:rFonts w:ascii="Calibri" w:cs="Calibri" w:eastAsia="Calibri" w:hAnsi="Calibri"/>
          <w:b/>
          <w:bCs/>
          <w:i w:val="false"/>
          <w:iCs w:val="false"/>
          <w:color w:val="222222"/>
          <w:sz w:val="22"/>
          <w:szCs w:val="22"/>
        </w:rPr>
        <w:t xml:space="preserve">Modo «Arcade»</w:t>
      </w:r>
      <w:r>
        <w:rPr>
          <w:rFonts w:ascii="Calibri" w:cs="Calibri" w:eastAsia="Calibri" w:hAnsi="Calibri"/>
          <w:b w:val="false"/>
          <w:bCs w:val="false"/>
          <w:i w:val="false"/>
          <w:iCs w:val="false"/>
          <w:color w:val="222222"/>
          <w:sz w:val="22"/>
          <w:szCs w:val="22"/>
        </w:rPr>
        <w:t xml:space="preserve"> con cuatro submodalidades de juego, y un sistema de gamificación pedagógica (experiencia, niveles, rachas y misiones diarias).</w:t>
      </w:r>
    </w:p>
    <w:p>
      <w:pPr>
        <w:pStyle w:val="ListParagraph"/>
        <w:numPr>
          <w:ilvl w:val="0"/>
          <w:numId w:val="2"/>
        </w:numPr>
        <w:spacing w:after="60" w:line="268"/>
      </w:pPr>
      <w:r>
        <w:rPr>
          <w:rFonts w:ascii="Calibri" w:cs="Calibri" w:eastAsia="Calibri" w:hAnsi="Calibri"/>
          <w:b/>
          <w:bCs/>
          <w:i w:val="false"/>
          <w:iCs w:val="false"/>
          <w:color w:val="222222"/>
          <w:sz w:val="22"/>
          <w:szCs w:val="22"/>
        </w:rPr>
        <w:t xml:space="preserve">Panel del profesor y analíticas</w:t>
      </w:r>
      <w:r>
        <w:rPr>
          <w:rFonts w:ascii="Calibri" w:cs="Calibri" w:eastAsia="Calibri" w:hAnsi="Calibri"/>
          <w:b w:val="false"/>
          <w:bCs w:val="false"/>
          <w:i w:val="false"/>
          <w:iCs w:val="false"/>
          <w:color w:val="222222"/>
          <w:sz w:val="22"/>
          <w:szCs w:val="22"/>
        </w:rPr>
        <w:t xml:space="preserve">, con cuadros de mando, hojas de evolución del alumnado e informes exportables.</w:t>
      </w:r>
    </w:p>
    <w:p>
      <w:pPr>
        <w:pStyle w:val="ListParagraph"/>
        <w:numPr>
          <w:ilvl w:val="0"/>
          <w:numId w:val="2"/>
        </w:numPr>
        <w:spacing w:after="60" w:line="268"/>
      </w:pPr>
      <w:r>
        <w:rPr>
          <w:rFonts w:ascii="Calibri" w:cs="Calibri" w:eastAsia="Calibri" w:hAnsi="Calibri"/>
          <w:b/>
          <w:bCs/>
          <w:i w:val="false"/>
          <w:iCs w:val="false"/>
          <w:color w:val="222222"/>
          <w:sz w:val="22"/>
          <w:szCs w:val="22"/>
        </w:rPr>
        <w:t xml:space="preserve">Reescritura de la arquitectura</w:t>
      </w:r>
      <w:r>
        <w:rPr>
          <w:rFonts w:ascii="Calibri" w:cs="Calibri" w:eastAsia="Calibri" w:hAnsi="Calibri"/>
          <w:b w:val="false"/>
          <w:bCs w:val="false"/>
          <w:i w:val="false"/>
          <w:iCs w:val="false"/>
          <w:color w:val="222222"/>
          <w:sz w:val="22"/>
          <w:szCs w:val="22"/>
        </w:rPr>
        <w:t xml:space="preserve"> en un sistema modular de módulos JavaScript nativos, sin dependencias de terceros.</w:t>
      </w:r>
    </w:p>
    <w:p>
      <w:pPr>
        <w:pStyle w:val="ListParagraph"/>
        <w:numPr>
          <w:ilvl w:val="0"/>
          <w:numId w:val="2"/>
        </w:numPr>
        <w:spacing w:after="60" w:line="268"/>
      </w:pPr>
      <w:r>
        <w:rPr>
          <w:rFonts w:ascii="Calibri" w:cs="Calibri" w:eastAsia="Calibri" w:hAnsi="Calibri"/>
          <w:b/>
          <w:bCs/>
          <w:i w:val="false"/>
          <w:iCs w:val="false"/>
          <w:color w:val="222222"/>
          <w:sz w:val="22"/>
          <w:szCs w:val="22"/>
        </w:rPr>
        <w:t xml:space="preserve">Cuerpo de contenidos didácticos originales</w:t>
      </w:r>
      <w:r>
        <w:rPr>
          <w:rFonts w:ascii="Calibri" w:cs="Calibri" w:eastAsia="Calibri" w:hAnsi="Calibri"/>
          <w:b w:val="false"/>
          <w:bCs w:val="false"/>
          <w:i w:val="false"/>
          <w:iCs w:val="false"/>
          <w:color w:val="222222"/>
          <w:sz w:val="22"/>
          <w:szCs w:val="22"/>
        </w:rPr>
        <w:t xml:space="preserve"> de creación propia (modelo pedagógico, micro-lecciones, banco de reflexión metalingüística, criterios de evaluación, glosario y manuales), descrito en el apartado 5.</w:t>
      </w:r>
    </w:p>
    <w:p>
      <w:pPr>
        <w:spacing w:after="80"/>
      </w:pPr>
    </w:p>
    <w:p>
      <w:pPr>
        <w:pStyle w:val="Heading1"/>
        <w:spacing w:after="140" w:before="320"/>
      </w:pPr>
      <w:r>
        <w:rPr>
          <w:rFonts w:ascii="Calibri" w:cs="Calibri" w:eastAsia="Calibri" w:hAnsi="Calibri"/>
          <w:b/>
          <w:bCs/>
          <w:color w:val="102A43"/>
          <w:sz w:val="30"/>
          <w:szCs w:val="30"/>
        </w:rPr>
        <w:t xml:space="preserve">3.  Descripción general de la aplicación</w:t>
      </w:r>
    </w:p>
    <w:p>
      <w:pPr>
        <w:spacing w:after="120" w:line="276"/>
        <w:jc w:val="both"/>
      </w:pPr>
      <w:r>
        <w:rPr>
          <w:rFonts w:ascii="Calibri" w:cs="Calibri" w:eastAsia="Calibri" w:hAnsi="Calibri"/>
          <w:sz w:val="22"/>
          <w:szCs w:val="22"/>
        </w:rPr>
        <w:t xml:space="preserve">«Taller de Sintaxis» es una aplicación web educativa destinada a la enseñanza y el aprendizaje del análisis morfológico y sintáctico de la lengua española en Educación Secundaria Obligatoria y Bachillerato, conforme a la terminología y a los criterios de la Nueva Gramática de la Lengua Española (NGLE) y a las pruebas de acceso a la universidad (EBAU) de la Región de Murcia.</w:t>
      </w:r>
    </w:p>
    <w:p>
      <w:pPr>
        <w:spacing w:after="120" w:line="276"/>
        <w:jc w:val="both"/>
      </w:pPr>
      <w:r>
        <w:rPr>
          <w:rFonts w:ascii="Calibri" w:cs="Calibri" w:eastAsia="Calibri" w:hAnsi="Calibri"/>
          <w:sz w:val="22"/>
          <w:szCs w:val="22"/>
        </w:rPr>
        <w:t xml:space="preserve">La aplicación se estructura como una aplicación de página única (SPA) que se ejecuta íntegramente en el navegador del usuario. El alumnado accede mediante un formulario de identificación (nombre, correo educativo y grupo) y selecciona el módulo de trabajo. Cada módulo propone ejercicios extraídos de un banco de oraciones, guía al alumno paso a paso por el análisis, ofrece retroalimentación pedagógica escalonada y, cuando procede, calcula una calificación.</w:t>
      </w:r>
    </w:p>
    <w:p>
      <w:pPr>
        <w:spacing w:after="120" w:line="276"/>
        <w:jc w:val="both"/>
      </w:pPr>
      <w:r>
        <w:rPr>
          <w:rFonts w:ascii="Calibri" w:cs="Calibri" w:eastAsia="Calibri" w:hAnsi="Calibri"/>
          <w:sz w:val="22"/>
          <w:szCs w:val="22"/>
        </w:rPr>
        <w:t xml:space="preserve">El profesorado dispone de un panel propio, protegido por contraseña y por un código PIN, desde el que configura exámenes, activa filtros de contenido, consulta resultados y genera informes. La persistencia de los bancos de datos, de las configuraciones de examen y de los resultados se realiza en un servicio de hoja de cálculo en la nube, gobernado por un backend desarrollado en Google Apps Script.</w:t>
      </w:r>
    </w:p>
    <w:p>
      <w:pPr>
        <w:spacing w:after="120" w:line="276"/>
        <w:jc w:val="both"/>
      </w:pPr>
      <w:r>
        <w:rPr>
          <w:rFonts w:ascii="Calibri" w:cs="Calibri" w:eastAsia="Calibri" w:hAnsi="Calibri"/>
          <w:sz w:val="22"/>
          <w:szCs w:val="22"/>
        </w:rPr>
        <w:t xml:space="preserve">El programa no requiere instalación, no depende de ningún framework ni biblioteca externa de terceros, y funciona sobre cualquier navegador moderno.</w:t>
      </w:r>
    </w:p>
    <w:p>
      <w:pPr>
        <w:spacing w:after="80"/>
      </w:pPr>
    </w:p>
    <w:p>
      <w:pPr>
        <w:pStyle w:val="Heading1"/>
        <w:spacing w:after="140" w:before="320"/>
      </w:pPr>
      <w:r>
        <w:rPr>
          <w:rFonts w:ascii="Calibri" w:cs="Calibri" w:eastAsia="Calibri" w:hAnsi="Calibri"/>
          <w:b/>
          <w:bCs/>
          <w:color w:val="102A43"/>
          <w:sz w:val="30"/>
          <w:szCs w:val="30"/>
        </w:rPr>
        <w:t xml:space="preserve">4.  Novedades funcionales objeto de ampliación</w:t>
      </w:r>
    </w:p>
    <w:p>
      <w:pPr>
        <w:pStyle w:val="Heading2"/>
        <w:spacing w:after="100" w:before="220"/>
      </w:pPr>
      <w:r>
        <w:rPr>
          <w:rFonts w:ascii="Calibri" w:cs="Calibri" w:eastAsia="Calibri" w:hAnsi="Calibri"/>
          <w:b/>
          <w:bCs/>
          <w:color w:val="0F766E"/>
          <w:sz w:val="25"/>
          <w:szCs w:val="25"/>
        </w:rPr>
        <w:t xml:space="preserve">4.1  Nuevo motor de análisis de la oración compuesta</w:t>
      </w:r>
    </w:p>
    <w:p>
      <w:pPr>
        <w:spacing w:after="120" w:line="276"/>
        <w:jc w:val="both"/>
      </w:pPr>
      <w:r>
        <w:rPr>
          <w:rFonts w:ascii="Calibri" w:cs="Calibri" w:eastAsia="Calibri" w:hAnsi="Calibri"/>
          <w:sz w:val="22"/>
          <w:szCs w:val="22"/>
        </w:rPr>
        <w:t xml:space="preserve">Se ha desarrollado un motor completamente nuevo para el análisis de la oración compuesta, con un esquema de datos propio (denominado internamente «esquema 1.2») que representa cada ejercicio mediante sus unidades léxicas, sus proposiciones, sus nexos y las relaciones entre proposiciones. Cada proposición incorpora, además, su propio análisis interno (sujeto, predicado y funciones sintácticas).</w:t>
      </w:r>
    </w:p>
    <w:p>
      <w:pPr>
        <w:spacing w:after="120" w:line="276"/>
        <w:jc w:val="both"/>
      </w:pPr>
      <w:r>
        <w:rPr>
          <w:rFonts w:ascii="Calibri" w:cs="Calibri" w:eastAsia="Calibri" w:hAnsi="Calibri"/>
          <w:sz w:val="22"/>
          <w:szCs w:val="22"/>
        </w:rPr>
        <w:t xml:space="preserve">El alumno recorre el análisis en cuatro pasos guiados: identificación de los verbos, identificación de los nexos, delimitación de las proposiciones y, por último, clasificación y relación entre ellas (coordinadas, subordinadas y yuxtapuestas, con sus subtipos). El módulo ofrece tres modalidades de uso: lectura comentada, práctica libre con retroalimentación y examen calificado.</w:t>
      </w:r>
    </w:p>
    <w:tbl>
      <w:tblPr>
        <w:tblW w:type="dxa" w:w="920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4400"/>
        <w:gridCol w:w="2200"/>
      </w:tblGrid>
      <w:tr>
        <w:trPr>
          <w:tblHeader/>
        </w:trPr>
        <w:tc>
          <w:tcPr>
            <w:tcW w:type="dxa" w:w="2600"/>
            <w:shd w:fill="102A43" w:color="auto"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Funcionalidad</w:t>
            </w:r>
          </w:p>
        </w:tc>
        <w:tc>
          <w:tcPr>
            <w:tcW w:type="dxa" w:w="4400"/>
            <w:shd w:fill="102A43" w:color="auto"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Descripción</w:t>
            </w:r>
          </w:p>
        </w:tc>
        <w:tc>
          <w:tcPr>
            <w:tcW w:type="dxa" w:w="2200"/>
            <w:shd w:fill="102A43" w:color="auto"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Soporte en el código</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Análisis por proposiciones</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Delimitación de proposiciones, nexos y relaciones; análisis interno de cada proposición.</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compuestas/index.js</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Tres modalidades</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Lectura, práctica con feedback y examen con PIN.</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enterDesdeLogin, iniciarPractica</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Retroalimentación propia</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Micro-lecciones y pistas específicas del módulo de compuestas.</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micro-lecciones-cp.js</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Backend dedicado</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Bancos, exámenes y resultados de compuestas en servidor propio.</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Compuestas.gs</w:t>
            </w:r>
          </w:p>
        </w:tc>
      </w:tr>
    </w:tbl>
    <w:p>
      <w:pPr>
        <w:spacing w:after="80"/>
      </w:pPr>
    </w:p>
    <w:p>
      <w:pPr>
        <w:pStyle w:val="Heading2"/>
        <w:spacing w:after="100" w:before="220"/>
      </w:pPr>
      <w:r>
        <w:rPr>
          <w:rFonts w:ascii="Calibri" w:cs="Calibri" w:eastAsia="Calibri" w:hAnsi="Calibri"/>
          <w:b/>
          <w:bCs/>
          <w:color w:val="0F766E"/>
          <w:sz w:val="25"/>
          <w:szCs w:val="25"/>
        </w:rPr>
        <w:t xml:space="preserve">4.2  Modelo de análisis morfológico en tres niveles curriculares</w:t>
      </w:r>
    </w:p>
    <w:p>
      <w:pPr>
        <w:spacing w:after="120" w:line="276"/>
        <w:jc w:val="both"/>
      </w:pPr>
      <w:r>
        <w:rPr>
          <w:rFonts w:ascii="Calibri" w:cs="Calibri" w:eastAsia="Calibri" w:hAnsi="Calibri"/>
          <w:sz w:val="22"/>
          <w:szCs w:val="22"/>
        </w:rPr>
        <w:t xml:space="preserve">El módulo de análisis morfológico avanzado se ha reelaborado en torno a tres niveles de profundidad alineados con el currículo: un primer nivel de identificación de categorías gramaticales (1.º y 2.º de ESO), un segundo nivel de análisis con atributos esenciales (3.º y 4.º de ESO) y un tercer nivel que reproduce la pauta de análisis exigida en la prueba de acceso a la universidad (Bachillerato).</w:t>
      </w:r>
    </w:p>
    <w:p>
      <w:pPr>
        <w:spacing w:after="120" w:line="276"/>
        <w:jc w:val="both"/>
      </w:pPr>
      <w:r>
        <w:rPr>
          <w:rFonts w:ascii="Calibri" w:cs="Calibri" w:eastAsia="Calibri" w:hAnsi="Calibri"/>
          <w:sz w:val="22"/>
          <w:szCs w:val="22"/>
        </w:rPr>
        <w:t xml:space="preserve">Cada categoría gramatical se analiza mediante una «cascada» de preguntas encadenadas cuyas ramas se adaptan al nivel elegido y a los propios atributos de la palabra. El sistema incorpora, entre otras, la distinción entre determinante, pronombre y adjetivo; la clase del adjetivo y su terminación; la voz activa y pasiva del verbo; las perífrasis verbales; y la formación de palabras. Al finalizar el análisis de cada palabra se muestra, a modo de modelo, la «respuesta PAU» en una sola línea.</w:t>
      </w:r>
    </w:p>
    <w:p>
      <w:pPr>
        <w:spacing w:after="120" w:line="276"/>
        <w:jc w:val="both"/>
      </w:pPr>
      <w:r>
        <w:rPr>
          <w:rFonts w:ascii="Calibri" w:cs="Calibri" w:eastAsia="Calibri" w:hAnsi="Calibri"/>
          <w:sz w:val="22"/>
          <w:szCs w:val="22"/>
        </w:rPr>
        <w:t xml:space="preserve">La calificación es ponderada: los rasgos que verdaderamente discriminan (voz, función, clase, etc.) y las categorías de mayor dificultad pesan más que los rasgos automáticos, y el modo examen aplica una curva de corrección más exigente, coherente con la evaluación en papel.</w:t>
      </w:r>
    </w:p>
    <w:tbl>
      <w:tblPr>
        <w:tblW w:type="dxa" w:w="920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4400"/>
        <w:gridCol w:w="2200"/>
      </w:tblGrid>
      <w:tr>
        <w:trPr>
          <w:tblHeader/>
        </w:trPr>
        <w:tc>
          <w:tcPr>
            <w:tcW w:type="dxa" w:w="2600"/>
            <w:shd w:fill="102A43" w:color="auto"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Funcionalidad</w:t>
            </w:r>
          </w:p>
        </w:tc>
        <w:tc>
          <w:tcPr>
            <w:tcW w:type="dxa" w:w="4400"/>
            <w:shd w:fill="102A43" w:color="auto"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Descripción</w:t>
            </w:r>
          </w:p>
        </w:tc>
        <w:tc>
          <w:tcPr>
            <w:tcW w:type="dxa" w:w="2200"/>
            <w:shd w:fill="102A43" w:color="auto"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Soporte en el código</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Tres niveles</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Categorías (1.º-2.º ESO), Análisis (3.º-4.º ESO) y modelo PAU (Bachillerato).</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getCascadeForNivel</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Cascadas adaptativas</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Preguntas encadenadas según nivel y atributos de la palabra.</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maestro/index.js</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Calificación ponderada</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Pesos por rasgo y categoría; curva de examen específica.</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confirmToken</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Selección por nivel</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Los textos se sirven según el nivel académico, con relajación automática.</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Code_v6.gs</w:t>
            </w:r>
          </w:p>
        </w:tc>
      </w:tr>
    </w:tbl>
    <w:p>
      <w:pPr>
        <w:spacing w:after="80"/>
      </w:pPr>
    </w:p>
    <w:p>
      <w:pPr>
        <w:pStyle w:val="Heading2"/>
        <w:spacing w:after="100" w:before="220"/>
      </w:pPr>
      <w:r>
        <w:rPr>
          <w:rFonts w:ascii="Calibri" w:cs="Calibri" w:eastAsia="Calibri" w:hAnsi="Calibri"/>
          <w:b/>
          <w:bCs/>
          <w:color w:val="0F766E"/>
          <w:sz w:val="25"/>
          <w:szCs w:val="25"/>
        </w:rPr>
        <w:t xml:space="preserve">4.3  Modo «Chispa» de identificación rápida de funciones</w:t>
      </w:r>
    </w:p>
    <w:p>
      <w:pPr>
        <w:spacing w:after="120" w:line="276"/>
        <w:jc w:val="both"/>
      </w:pPr>
      <w:r>
        <w:rPr>
          <w:rFonts w:ascii="Calibri" w:cs="Calibri" w:eastAsia="Calibri" w:hAnsi="Calibri"/>
          <w:sz w:val="22"/>
          <w:szCs w:val="22"/>
        </w:rPr>
        <w:t xml:space="preserve">Se ha incorporado una modalidad nueva e independiente, denominada «Chispa», orientada al reconocimiento ágil de funciones sintácticas. La aplicación presenta una oración y solicita al alumno que identifique, de un vistazo, la función pedida, con una dificultad creciente y mezclando oraciones simples y compuestas. La modalidad registra analíticas de uso de forma silenciosa para el profesorado, sin interferir en la experiencia del alumno.</w:t>
      </w:r>
    </w:p>
    <w:tbl>
      <w:tblPr>
        <w:tblW w:type="dxa" w:w="920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4400"/>
        <w:gridCol w:w="2200"/>
      </w:tblGrid>
      <w:tr>
        <w:trPr>
          <w:tblHeader/>
        </w:trPr>
        <w:tc>
          <w:tcPr>
            <w:tcW w:type="dxa" w:w="2600"/>
            <w:shd w:fill="102A43" w:color="auto"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Funcionalidad</w:t>
            </w:r>
          </w:p>
        </w:tc>
        <w:tc>
          <w:tcPr>
            <w:tcW w:type="dxa" w:w="4400"/>
            <w:shd w:fill="102A43" w:color="auto"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Descripción</w:t>
            </w:r>
          </w:p>
        </w:tc>
        <w:tc>
          <w:tcPr>
            <w:tcW w:type="dxa" w:w="2200"/>
            <w:shd w:fill="102A43" w:color="auto"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Soporte en el código</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Identificación rápida</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Reconocimiento de la función sintáctica pedida, con dificultad creciente.</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chispa/index.js</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Contenido mixto</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Combina oraciones simples y compuestas del banco.</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analisis_interno</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Analíticas silenciosas</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Registro de uso para el profesorado sin afectar al juego.</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ChispaStats.gs</w:t>
            </w:r>
          </w:p>
        </w:tc>
      </w:tr>
    </w:tbl>
    <w:p>
      <w:pPr>
        <w:spacing w:after="80"/>
      </w:pPr>
    </w:p>
    <w:p>
      <w:pPr>
        <w:pStyle w:val="Heading2"/>
        <w:spacing w:after="100" w:before="220"/>
      </w:pPr>
      <w:r>
        <w:rPr>
          <w:rFonts w:ascii="Calibri" w:cs="Calibri" w:eastAsia="Calibri" w:hAnsi="Calibri"/>
          <w:b/>
          <w:bCs/>
          <w:color w:val="0F766E"/>
          <w:sz w:val="25"/>
          <w:szCs w:val="25"/>
        </w:rPr>
        <w:t xml:space="preserve">4.4  Sistema de evaluación, calificación y envío de informes</w:t>
      </w:r>
    </w:p>
    <w:p>
      <w:pPr>
        <w:spacing w:after="120" w:line="276"/>
        <w:jc w:val="both"/>
      </w:pPr>
      <w:r>
        <w:rPr>
          <w:rFonts w:ascii="Calibri" w:cs="Calibri" w:eastAsia="Calibri" w:hAnsi="Calibri"/>
          <w:sz w:val="22"/>
          <w:szCs w:val="22"/>
        </w:rPr>
        <w:t xml:space="preserve">La aplicación integra un sistema completo de evaluación. El profesor genera un examen desde su panel, fija sus parámetros (grupo, evaluación, funciones que deben aparecer, dificultad, número de oraciones y temporizador) y lo activa mediante un código PIN de cuatro dígitos que comunica oralmente al alumnado. En modo examen, la aplicación no ofrece pistas ni revela la solución, y aplica una curva de calificación más estricta que en la práctica libre.</w:t>
      </w:r>
    </w:p>
    <w:p>
      <w:pPr>
        <w:spacing w:after="120" w:line="276"/>
        <w:jc w:val="both"/>
      </w:pPr>
      <w:r>
        <w:rPr>
          <w:rFonts w:ascii="Calibri" w:cs="Calibri" w:eastAsia="Calibri" w:hAnsi="Calibri"/>
          <w:sz w:val="22"/>
          <w:szCs w:val="22"/>
        </w:rPr>
        <w:t xml:space="preserve">Los resultados se registran de forma persistente, con protección frente a envíos duplicados. El profesorado dispone de informes descargables en formato de hoja de cálculo, con notas por alumno, escala de color, ranking, errores más frecuentes por función y analíticas de evolución. Adicionalmente, el sistema permite el envío automático a cada alumno, por correo electrónico, de su calificación y de sus errores más frecuentes.</w:t>
      </w:r>
    </w:p>
    <w:tbl>
      <w:tblPr>
        <w:tblW w:type="dxa" w:w="920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4400"/>
        <w:gridCol w:w="2200"/>
      </w:tblGrid>
      <w:tr>
        <w:trPr>
          <w:tblHeader/>
        </w:trPr>
        <w:tc>
          <w:tcPr>
            <w:tcW w:type="dxa" w:w="2600"/>
            <w:shd w:fill="102A43" w:color="auto"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Funcionalidad</w:t>
            </w:r>
          </w:p>
        </w:tc>
        <w:tc>
          <w:tcPr>
            <w:tcW w:type="dxa" w:w="4400"/>
            <w:shd w:fill="102A43" w:color="auto"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Descripción</w:t>
            </w:r>
          </w:p>
        </w:tc>
        <w:tc>
          <w:tcPr>
            <w:tcW w:type="dxa" w:w="2200"/>
            <w:shd w:fill="102A43" w:color="auto"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Soporte en el código</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Examen con PIN</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Configuración y activación de exámenes protegidos por código.</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createExam, getExamConfig</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Calificación</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Notas con curva de examen; registro anti-duplicado.</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saveResult, saveMorphResult</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Informes del profesor</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Hoja de cálculo con notas, ranking y errores por función.</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informe-excel.js</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Envío a alumnos</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Correo automático con nota y errores frecuentes a cada alumno.</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EnviarInformes.gs</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Analíticas de evolución</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Hojas de evolución por alumno y por grupo.</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AnaliticaEvolutiva.gs</w:t>
            </w:r>
          </w:p>
        </w:tc>
      </w:tr>
    </w:tbl>
    <w:p>
      <w:pPr>
        <w:spacing w:after="80"/>
      </w:pPr>
    </w:p>
    <w:p>
      <w:pPr>
        <w:pStyle w:val="Heading2"/>
        <w:spacing w:after="100" w:before="220"/>
      </w:pPr>
      <w:r>
        <w:rPr>
          <w:rFonts w:ascii="Calibri" w:cs="Calibri" w:eastAsia="Calibri" w:hAnsi="Calibri"/>
          <w:b/>
          <w:bCs/>
          <w:color w:val="0F766E"/>
          <w:sz w:val="25"/>
          <w:szCs w:val="25"/>
        </w:rPr>
        <w:t xml:space="preserve">4.5  Modo «Arcade» y gamificación pedagógica</w:t>
      </w:r>
    </w:p>
    <w:p>
      <w:pPr>
        <w:spacing w:after="120" w:line="276"/>
        <w:jc w:val="both"/>
      </w:pPr>
      <w:r>
        <w:rPr>
          <w:rFonts w:ascii="Calibri" w:cs="Calibri" w:eastAsia="Calibri" w:hAnsi="Calibri"/>
          <w:sz w:val="22"/>
          <w:szCs w:val="22"/>
        </w:rPr>
        <w:t xml:space="preserve">El módulo «Arcade» ofrece cuatro submodalidades de juego (supervivencia, contrarreloj, duelo contra un «fantasma» y radar de errores) orientadas a la práctica motivadora y a la competición sana dentro del aula, con un ranking compartido. Transversalmente, la aplicación incorpora un sistema de gamificación pedagógica que otorga puntos de experiencia, niveles, rachas diarias y misiones, con el fin de sostener la práctica continuada del alumnado.</w:t>
      </w:r>
    </w:p>
    <w:tbl>
      <w:tblPr>
        <w:tblW w:type="dxa" w:w="920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4400"/>
        <w:gridCol w:w="2200"/>
      </w:tblGrid>
      <w:tr>
        <w:trPr>
          <w:tblHeader/>
        </w:trPr>
        <w:tc>
          <w:tcPr>
            <w:tcW w:type="dxa" w:w="2600"/>
            <w:shd w:fill="102A43" w:color="auto"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Funcionalidad</w:t>
            </w:r>
          </w:p>
        </w:tc>
        <w:tc>
          <w:tcPr>
            <w:tcW w:type="dxa" w:w="4400"/>
            <w:shd w:fill="102A43" w:color="auto"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Descripción</w:t>
            </w:r>
          </w:p>
        </w:tc>
        <w:tc>
          <w:tcPr>
            <w:tcW w:type="dxa" w:w="2200"/>
            <w:shd w:fill="102A43" w:color="auto"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Soporte en el código</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Cuatro submodos</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Supervivencia, contrarreloj, duelo fantasma y radar de errores.</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arcade/index.js</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Ranking del aula</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Clasificación compartida de puntuaciones.</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saveArcadeScore</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Experiencia y niveles</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Puntos, niveles y celebraciones de progreso.</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gamification/xp.js</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Rachas y misiones</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Rachas diarias y misiones para sostener la práctica.</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streak.js, missions.js</w:t>
            </w:r>
          </w:p>
        </w:tc>
      </w:tr>
    </w:tbl>
    <w:p>
      <w:pPr>
        <w:spacing w:after="80"/>
      </w:pPr>
    </w:p>
    <w:p>
      <w:pPr>
        <w:pStyle w:val="Heading2"/>
        <w:spacing w:after="100" w:before="220"/>
      </w:pPr>
      <w:r>
        <w:rPr>
          <w:rFonts w:ascii="Calibri" w:cs="Calibri" w:eastAsia="Calibri" w:hAnsi="Calibri"/>
          <w:b/>
          <w:bCs/>
          <w:color w:val="0F766E"/>
          <w:sz w:val="25"/>
          <w:szCs w:val="25"/>
        </w:rPr>
        <w:t xml:space="preserve">4.6  Panel del profesor y otras mejoras funcionales</w:t>
      </w:r>
    </w:p>
    <w:p>
      <w:pPr>
        <w:spacing w:after="120" w:line="276"/>
        <w:jc w:val="both"/>
      </w:pPr>
      <w:r>
        <w:rPr>
          <w:rFonts w:ascii="Calibri" w:cs="Calibri" w:eastAsia="Calibri" w:hAnsi="Calibri"/>
          <w:sz w:val="22"/>
          <w:szCs w:val="22"/>
        </w:rPr>
        <w:t xml:space="preserve">El panel del profesor centraliza la gestión del aula: manuales de uso, descarga de informes, configuración de mis grupos, subfase del examen, filtros de contenido, gestión del PIN y del temporizador, y activación de exámenes. Además de las funcionalidades ya descritas, la ampliación recoge otras mejoras: un perfil de alumno persistente entre sesiones; un módulo específico de análisis de sintagmas; un sistema de retroalimentación escalonada con micro-lecciones y pistas contextuales; retos y preguntas de reflexión metalingüística; y una interfaz renovada de estética editorial cuidada.</w:t>
      </w:r>
    </w:p>
    <w:tbl>
      <w:tblPr>
        <w:tblW w:type="dxa" w:w="920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4400"/>
        <w:gridCol w:w="2200"/>
      </w:tblGrid>
      <w:tr>
        <w:trPr>
          <w:tblHeader/>
        </w:trPr>
        <w:tc>
          <w:tcPr>
            <w:tcW w:type="dxa" w:w="2600"/>
            <w:shd w:fill="102A43" w:color="auto"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Funcionalidad</w:t>
            </w:r>
          </w:p>
        </w:tc>
        <w:tc>
          <w:tcPr>
            <w:tcW w:type="dxa" w:w="4400"/>
            <w:shd w:fill="102A43" w:color="auto"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Descripción</w:t>
            </w:r>
          </w:p>
        </w:tc>
        <w:tc>
          <w:tcPr>
            <w:tcW w:type="dxa" w:w="2200"/>
            <w:shd w:fill="102A43" w:color="auto"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Soporte en el código</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Panel del profesor</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Gestión integral del aula, exámenes e informes.</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teacher/index.js</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Perfil persistente</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Datos del alumno recordados entre sesiones.</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core/profile.js</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Análisis de sintagmas</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Módulo de análisis de la estructura del sintagma.</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sintagmas/index.js</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Feedback escalonado</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Micro-lecciones y pistas contextuales por error.</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feedback/*</w:t>
            </w:r>
          </w:p>
        </w:tc>
      </w:tr>
    </w:tbl>
    <w:p>
      <w:pPr>
        <w:spacing w:after="80"/>
      </w:pPr>
    </w:p>
    <w:p>
      <w:pPr>
        <w:pStyle w:val="Heading1"/>
        <w:spacing w:after="140" w:before="320"/>
      </w:pPr>
      <w:r>
        <w:rPr>
          <w:rFonts w:ascii="Calibri" w:cs="Calibri" w:eastAsia="Calibri" w:hAnsi="Calibri"/>
          <w:b/>
          <w:bCs/>
          <w:color w:val="102A43"/>
          <w:sz w:val="30"/>
          <w:szCs w:val="30"/>
        </w:rPr>
        <w:t xml:space="preserve">5.  Aportación didáctica original</w:t>
      </w:r>
    </w:p>
    <w:p>
      <w:pPr>
        <w:pStyle w:val="Heading2"/>
        <w:spacing w:after="100" w:before="220"/>
      </w:pPr>
      <w:r>
        <w:rPr>
          <w:rFonts w:ascii="Calibri" w:cs="Calibri" w:eastAsia="Calibri" w:hAnsi="Calibri"/>
          <w:b/>
          <w:bCs/>
          <w:color w:val="0F766E"/>
          <w:sz w:val="25"/>
          <w:szCs w:val="25"/>
        </w:rPr>
        <w:t xml:space="preserve">5.1  Naturaleza de la aportación</w:t>
      </w:r>
    </w:p>
    <w:p>
      <w:pPr>
        <w:spacing w:after="120" w:line="276"/>
        <w:jc w:val="both"/>
      </w:pPr>
      <w:r>
        <w:rPr>
          <w:rFonts w:ascii="Calibri" w:cs="Calibri" w:eastAsia="Calibri" w:hAnsi="Calibri"/>
          <w:sz w:val="22"/>
          <w:szCs w:val="22"/>
        </w:rPr>
        <w:t xml:space="preserve">La obra no se agota en su condición de programa de ordenador: incorpora un cuerpo sustancial de contenidos didácticos originales, de creación propia del autor, elaborados conforme a la terminología de la Nueva Gramática de la Lengua Española y a los criterios de la prueba de acceso a la universidad de la Región de Murcia. Estos contenidos constituyen expresión protegida por el derecho de autor y forman parte inseparable del valor de la obra.</w:t>
      </w:r>
    </w:p>
    <w:p>
      <w:pPr>
        <w:spacing w:after="120" w:line="276"/>
        <w:jc w:val="both"/>
      </w:pPr>
      <w:r>
        <w:rPr>
          <w:rFonts w:ascii="Calibri" w:cs="Calibri" w:eastAsia="Calibri" w:hAnsi="Calibri"/>
          <w:b w:val="false"/>
          <w:bCs w:val="false"/>
          <w:i w:val="false"/>
          <w:iCs w:val="false"/>
          <w:color w:val="222222"/>
          <w:sz w:val="22"/>
          <w:szCs w:val="22"/>
        </w:rPr>
        <w:t xml:space="preserve">A los efectos de esta memoria conviene precisar que la protección recae sobre la </w:t>
      </w:r>
      <w:r>
        <w:rPr>
          <w:rFonts w:ascii="Calibri" w:cs="Calibri" w:eastAsia="Calibri" w:hAnsi="Calibri"/>
          <w:b/>
          <w:bCs/>
          <w:i w:val="false"/>
          <w:iCs w:val="false"/>
          <w:color w:val="222222"/>
          <w:sz w:val="22"/>
          <w:szCs w:val="22"/>
        </w:rPr>
        <w:t xml:space="preserve">expresión concreta</w:t>
      </w:r>
      <w:r>
        <w:rPr>
          <w:rFonts w:ascii="Calibri" w:cs="Calibri" w:eastAsia="Calibri" w:hAnsi="Calibri"/>
          <w:b w:val="false"/>
          <w:bCs w:val="false"/>
          <w:i w:val="false"/>
          <w:iCs w:val="false"/>
          <w:color w:val="222222"/>
          <w:sz w:val="22"/>
          <w:szCs w:val="22"/>
        </w:rPr>
        <w:t xml:space="preserve"> de dichos contenidos —los textos, los materiales, las secuencias y los criterios tal como han sido redactados y organizados por el autor— y no sobre las ideas, los métodos o los conceptos pedagógicos en abstracto, que la legislación excluye de protección. Lo que se documenta y se somete a registro es, por tanto, la realización concreta y original de ese trabajo didáctico.</w:t>
      </w:r>
    </w:p>
    <w:p>
      <w:pPr>
        <w:pStyle w:val="Heading2"/>
        <w:spacing w:after="100" w:before="220"/>
      </w:pPr>
      <w:r>
        <w:rPr>
          <w:rFonts w:ascii="Calibri" w:cs="Calibri" w:eastAsia="Calibri" w:hAnsi="Calibri"/>
          <w:b/>
          <w:bCs/>
          <w:color w:val="0F766E"/>
          <w:sz w:val="25"/>
          <w:szCs w:val="25"/>
        </w:rPr>
        <w:t xml:space="preserve">5.2  Contenidos didácticos originales que integran la obra</w:t>
      </w:r>
    </w:p>
    <w:tbl>
      <w:tblPr>
        <w:tblW w:type="dxa" w:w="920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4400"/>
        <w:gridCol w:w="2200"/>
      </w:tblGrid>
      <w:tr>
        <w:trPr>
          <w:tblHeader/>
        </w:trPr>
        <w:tc>
          <w:tcPr>
            <w:tcW w:type="dxa" w:w="2600"/>
            <w:shd w:fill="102A43" w:color="auto"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Funcionalidad</w:t>
            </w:r>
          </w:p>
        </w:tc>
        <w:tc>
          <w:tcPr>
            <w:tcW w:type="dxa" w:w="4400"/>
            <w:shd w:fill="102A43" w:color="auto"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Descripción</w:t>
            </w:r>
          </w:p>
        </w:tc>
        <w:tc>
          <w:tcPr>
            <w:tcW w:type="dxa" w:w="2200"/>
            <w:shd w:fill="102A43" w:color="auto"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Soporte en el código</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Modelo de análisis morfológico en tres niveles</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Diseño, secuenciación y criterios de los niveles Categorías / Análisis / PAU, tal como se expresan en el programa y en su documentación de diseño.</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propuesta_niveles_morfologia.md</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Banco de reflexión metalingüística</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Ítems autocorregibles de creación propia, con enfoque metodológico original (se evalúa la prueba y no la etiqueta; manipulación sintáctica frente a heurísticos) y distractores diseñados pedagógicamente con microexplicaciones.</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Banco_reflexion_metalinguistica.md</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Micro-lecciones y retroalimentación escalonada</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Textos explicativos propios asociados a cada tipo de error, con pistas contextuales graduadas.</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micro-lecciones.js, pistas-*</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Secuencias didácticas guiadas</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Los pasos de análisis (simple y compuesta) y las cascadas de preguntas morfológicas como itinerario didáctico.</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sint, compuestas, maestro</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Criterios de evaluación y calificación</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Rúbrica que pondera los rasgos discriminantes y aplica una curva de examen, con su fundamentación.</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f9_ponderacion_morfologia.md</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Bancos de oraciones y ejercicios propios</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Oraciones y textos de elaboración propia para los distintos niveles y módulos.</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corpus_textos_n1_morfologia.md</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Material de aula y modelo de respuesta</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Tarjetas didácticas, «respuesta PAU» modelo y glosario de términos gramaticales.</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TARJETAS_DIDACTICAS_CP.md, glosario</w:t>
            </w:r>
          </w:p>
        </w:tc>
      </w:tr>
      <w:tr>
        <w:tc>
          <w:tcPr>
            <w:tcW w:type="dxa" w:w="26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Manuales y guías</w:t>
            </w:r>
          </w:p>
        </w:tc>
        <w:tc>
          <w:tcPr>
            <w:tcW w:type="dxa" w:w="4400"/>
            <w:tcMar>
              <w:top w:type="dxa" w:w="60"/>
              <w:left w:type="dxa" w:w="110"/>
              <w:bottom w:type="dxa" w:w="60"/>
              <w:right w:type="dxa" w:w="110"/>
            </w:tcMar>
          </w:tcPr>
          <w:p>
            <w:pPr>
              <w:spacing w:after="0"/>
              <w:jc w:val="left"/>
            </w:pPr>
            <w:r>
              <w:rPr>
                <w:rFonts w:ascii="Calibri" w:cs="Calibri" w:eastAsia="Calibri" w:hAnsi="Calibri"/>
                <w:color w:val="222222"/>
                <w:sz w:val="19"/>
                <w:szCs w:val="19"/>
              </w:rPr>
              <w:t xml:space="preserve">Manual del profesor, manual del alumno y guía de sesiones.</w:t>
            </w:r>
          </w:p>
        </w:tc>
        <w:tc>
          <w:tcPr>
            <w:tcW w:type="dxa" w:w="2200"/>
            <w:tcMar>
              <w:top w:type="dxa" w:w="60"/>
              <w:left w:type="dxa" w:w="110"/>
              <w:bottom w:type="dxa" w:w="60"/>
              <w:right w:type="dxa" w:w="110"/>
            </w:tcMar>
          </w:tcPr>
          <w:p>
            <w:pPr>
              <w:spacing w:after="0"/>
              <w:jc w:val="left"/>
            </w:pPr>
            <w:r>
              <w:rPr>
                <w:rFonts w:ascii="Consolas" w:cs="Consolas" w:eastAsia="Consolas" w:hAnsi="Consolas"/>
                <w:color w:val="0F766E"/>
                <w:sz w:val="19"/>
                <w:szCs w:val="19"/>
              </w:rPr>
              <w:t xml:space="preserve">Manual_Profesor_...docx</w:t>
            </w:r>
          </w:p>
        </w:tc>
      </w:tr>
    </w:tbl>
    <w:p>
      <w:pPr>
        <w:spacing w:after="80"/>
      </w:pPr>
    </w:p>
    <w:p>
      <w:pPr>
        <w:pStyle w:val="Heading2"/>
        <w:spacing w:after="100" w:before="220"/>
      </w:pPr>
      <w:r>
        <w:rPr>
          <w:rFonts w:ascii="Calibri" w:cs="Calibri" w:eastAsia="Calibri" w:hAnsi="Calibri"/>
          <w:b/>
          <w:bCs/>
          <w:color w:val="0F766E"/>
          <w:sz w:val="25"/>
          <w:szCs w:val="25"/>
        </w:rPr>
        <w:t xml:space="preserve">5.3  Materiales de terceros excluidos del registro</w:t>
      </w:r>
    </w:p>
    <w:p>
      <w:pPr>
        <w:spacing w:after="120" w:line="276"/>
        <w:jc w:val="both"/>
      </w:pPr>
      <w:r>
        <w:rPr>
          <w:rFonts w:ascii="Calibri" w:cs="Calibri" w:eastAsia="Calibri" w:hAnsi="Calibri"/>
          <w:b w:val="false"/>
          <w:bCs w:val="false"/>
          <w:i w:val="false"/>
          <w:iCs w:val="false"/>
          <w:color w:val="222222"/>
          <w:sz w:val="22"/>
          <w:szCs w:val="22"/>
        </w:rPr>
        <w:t xml:space="preserve">Algunos de los textos empleados en la aplicación a título de ejemplo o ilustración proceden de obras literarias de terceros (por ejemplo, fragmentos de obras de la literatura hispanoamericana). Dichos fragmentos se utilizan como </w:t>
      </w:r>
      <w:r>
        <w:rPr>
          <w:rFonts w:ascii="Calibri" w:cs="Calibri" w:eastAsia="Calibri" w:hAnsi="Calibri"/>
          <w:b w:val="false"/>
          <w:bCs w:val="false"/>
          <w:i/>
          <w:iCs/>
          <w:color w:val="222222"/>
          <w:sz w:val="22"/>
          <w:szCs w:val="22"/>
        </w:rPr>
        <w:t xml:space="preserve">cita e ilustración didáctica</w:t>
      </w:r>
      <w:r>
        <w:rPr>
          <w:rFonts w:ascii="Calibri" w:cs="Calibri" w:eastAsia="Calibri" w:hAnsi="Calibri"/>
          <w:b w:val="false"/>
          <w:bCs w:val="false"/>
          <w:i w:val="false"/>
          <w:iCs w:val="false"/>
          <w:color w:val="222222"/>
          <w:sz w:val="22"/>
          <w:szCs w:val="22"/>
        </w:rPr>
        <w:t xml:space="preserve"> y </w:t>
      </w:r>
      <w:r>
        <w:rPr>
          <w:rFonts w:ascii="Calibri" w:cs="Calibri" w:eastAsia="Calibri" w:hAnsi="Calibri"/>
          <w:b/>
          <w:bCs/>
          <w:i w:val="false"/>
          <w:iCs w:val="false"/>
          <w:color w:val="222222"/>
          <w:sz w:val="22"/>
          <w:szCs w:val="22"/>
        </w:rPr>
        <w:t xml:space="preserve">no son objeto de la presente inscripción</w:t>
      </w:r>
      <w:r>
        <w:rPr>
          <w:rFonts w:ascii="Calibri" w:cs="Calibri" w:eastAsia="Calibri" w:hAnsi="Calibri"/>
          <w:b w:val="false"/>
          <w:bCs w:val="false"/>
          <w:i w:val="false"/>
          <w:iCs w:val="false"/>
          <w:color w:val="222222"/>
          <w:sz w:val="22"/>
          <w:szCs w:val="22"/>
        </w:rPr>
        <w:t xml:space="preserve">. El registro se refiere exclusivamente a las creaciones propias del autor: el programa, su arquitectura y los contenidos didácticos originales relacionados en el apartado 5.2.</w:t>
      </w:r>
    </w:p>
    <w:p>
      <w:pPr>
        <w:spacing w:after="40"/>
      </w:pPr>
    </w:p>
    <w:p>
      <w:pPr>
        <w:spacing w:after="60" w:line="276"/>
        <w:jc w:val="both"/>
      </w:pPr>
      <w:r>
        <w:rPr>
          <w:rFonts w:ascii="Calibri" w:cs="Calibri" w:eastAsia="Calibri" w:hAnsi="Calibri"/>
          <w:b/>
          <w:bCs/>
          <w:i w:val="false"/>
          <w:iCs w:val="false"/>
          <w:color w:val="222222"/>
          <w:sz w:val="22"/>
          <w:szCs w:val="22"/>
        </w:rPr>
        <w:t xml:space="preserve">Nota: </w:t>
      </w:r>
      <w:r>
        <w:rPr>
          <w:rFonts w:ascii="Calibri" w:cs="Calibri" w:eastAsia="Calibri" w:hAnsi="Calibri"/>
          <w:b w:val="false"/>
          <w:bCs w:val="false"/>
          <w:i w:val="false"/>
          <w:iCs w:val="false"/>
          <w:color w:val="222222"/>
          <w:sz w:val="22"/>
          <w:szCs w:val="22"/>
        </w:rPr>
        <w:t xml:space="preserve">los materiales didácticos de carácter autónomo (el banco de reflexión metalingüística, los manuales o los bancos de ejercicios de elaboración propia) podrían, además, ser objeto de inscripción como obras independientes de naturaleza literaria o educativa, con independencia del programa de ordenador. Se recomienda valorar esta posibilidad con el propio Registro.</w:t>
      </w:r>
    </w:p>
    <w:p>
      <w:pPr>
        <w:spacing w:after="80"/>
      </w:pPr>
    </w:p>
    <w:p>
      <w:pPr>
        <w:pStyle w:val="Heading1"/>
        <w:spacing w:after="140" w:before="320"/>
      </w:pPr>
      <w:r>
        <w:rPr>
          <w:rFonts w:ascii="Calibri" w:cs="Calibri" w:eastAsia="Calibri" w:hAnsi="Calibri"/>
          <w:b/>
          <w:bCs/>
          <w:color w:val="102A43"/>
          <w:sz w:val="30"/>
          <w:szCs w:val="30"/>
        </w:rPr>
        <w:t xml:space="preserve">6.  Descripción técnica del programa</w:t>
      </w:r>
    </w:p>
    <w:p>
      <w:pPr>
        <w:pStyle w:val="Heading2"/>
        <w:spacing w:after="100" w:before="220"/>
      </w:pPr>
      <w:r>
        <w:rPr>
          <w:rFonts w:ascii="Calibri" w:cs="Calibri" w:eastAsia="Calibri" w:hAnsi="Calibri"/>
          <w:b/>
          <w:bCs/>
          <w:color w:val="0F766E"/>
          <w:sz w:val="25"/>
          <w:szCs w:val="25"/>
        </w:rPr>
        <w:t xml:space="preserve">6.1  Arquitectura</w:t>
      </w:r>
    </w:p>
    <w:p>
      <w:pPr>
        <w:spacing w:after="120" w:line="276"/>
        <w:jc w:val="both"/>
      </w:pPr>
      <w:r>
        <w:rPr>
          <w:rFonts w:ascii="Calibri" w:cs="Calibri" w:eastAsia="Calibri" w:hAnsi="Calibri"/>
          <w:sz w:val="22"/>
          <w:szCs w:val="22"/>
        </w:rPr>
        <w:t xml:space="preserve">La aplicación se ha reescrito como una aplicación de página única (SPA) estática y modular, sin proceso de compilación ni empaquetado. El código se carga directamente en el navegador mediante módulos nativos de JavaScript (ES6). La arquitectura se organiza en cuatro capas: interfaz (HTML y CSS), lógica de cliente (módulos JavaScript), backend (Google Apps Script) y datos (hoja de cálculo en la nube).</w:t>
      </w:r>
    </w:p>
    <w:p>
      <w:pPr>
        <w:spacing w:after="120" w:line="276"/>
        <w:jc w:val="both"/>
      </w:pPr>
      <w:r>
        <w:rPr>
          <w:rFonts w:ascii="Calibri" w:cs="Calibri" w:eastAsia="Calibri" w:hAnsi="Calibri"/>
          <w:sz w:val="22"/>
          <w:szCs w:val="22"/>
        </w:rPr>
        <w:t xml:space="preserve">Es una de las señas de identidad del programa su carácter de práctica ausencia de dependencias: no emplea ningún framework (React, Vue, Angular), ninguna biblioteca de terceros (jQuery u otras), ningún empaquetador ni preprocesador, y ningún lenguaje transpilado. Se apoya exclusivamente en las interfaces de programación nativas del navegador (Web Audio API para el sonido, almacenamiento local para la persistencia de cliente, y las funciones de red estándar).</w:t>
      </w:r>
    </w:p>
    <w:p>
      <w:pPr>
        <w:pStyle w:val="Heading2"/>
        <w:spacing w:after="100" w:before="220"/>
      </w:pPr>
      <w:r>
        <w:rPr>
          <w:rFonts w:ascii="Calibri" w:cs="Calibri" w:eastAsia="Calibri" w:hAnsi="Calibri"/>
          <w:b/>
          <w:bCs/>
          <w:color w:val="0F766E"/>
          <w:sz w:val="25"/>
          <w:szCs w:val="25"/>
        </w:rPr>
        <w:t xml:space="preserve">6.2  Volumen y organización del código</w:t>
      </w:r>
    </w:p>
    <w:p>
      <w:pPr>
        <w:spacing w:after="120" w:line="276"/>
        <w:jc w:val="both"/>
      </w:pPr>
      <w:r>
        <w:rPr>
          <w:rFonts w:ascii="Calibri" w:cs="Calibri" w:eastAsia="Calibri" w:hAnsi="Calibri"/>
          <w:sz w:val="22"/>
          <w:szCs w:val="22"/>
        </w:rPr>
        <w:t xml:space="preserve">El programa consta, en su versión vigente, de más de treinta y cuatro mil líneas de código fuente propio, repartidas del siguiente modo:</w:t>
      </w:r>
    </w:p>
    <w:p>
      <w:pPr>
        <w:spacing w:after="40"/>
      </w:pPr>
    </w:p>
    <w:tbl>
      <w:tblPr>
        <w:tblW w:type="dxa" w:w="9200"/>
        <w:tblBorders>
          <w:top w:val="single" w:color="CCCCCC" w:sz="4"/>
          <w:left w:val="single" w:color="CCCCCC" w:sz="4"/>
          <w:bottom w:val="single" w:color="CCCCCC" w:sz="4"/>
          <w:right w:val="single" w:color="CCCCCC" w:sz="4"/>
          <w:insideH w:val="single" w:color="DDDDDD" w:sz="4"/>
          <w:insideV w:val="single" w:color="DDDDDD" w:sz="4"/>
        </w:tblBorders>
      </w:tblPr>
      <w:tblGrid>
        <w:gridCol w:w="4200"/>
        <w:gridCol w:w="5000"/>
      </w:tblGrid>
      <w:tr>
        <w:tc>
          <w:tcPr>
            <w:tcW w:type="dxa" w:w="4200"/>
            <w:shd w:fill="F2F0EA" w:color="auto" w:val="clear"/>
            <w:tcMar>
              <w:top w:type="dxa" w:w="60"/>
              <w:left w:type="dxa" w:w="120"/>
              <w:bottom w:type="dxa" w:w="60"/>
              <w:right w:type="dxa" w:w="120"/>
            </w:tcMar>
          </w:tcPr>
          <w:p>
            <w:pPr>
              <w:spacing w:after="0"/>
            </w:pPr>
            <w:r>
              <w:rPr>
                <w:rFonts w:ascii="Calibri" w:cs="Calibri" w:eastAsia="Calibri" w:hAnsi="Calibri"/>
                <w:b/>
                <w:bCs/>
                <w:i w:val="false"/>
                <w:iCs w:val="false"/>
                <w:color w:val="102A43"/>
                <w:sz w:val="22"/>
                <w:szCs w:val="22"/>
              </w:rPr>
              <w:t xml:space="preserve">Lógica de cliente (JavaScript)</w:t>
            </w:r>
          </w:p>
        </w:tc>
        <w:tc>
          <w:tcPr>
            <w:tcW w:type="dxa" w:w="5000"/>
            <w:tcMar>
              <w:top w:type="dxa" w:w="60"/>
              <w:left w:type="dxa" w:w="120"/>
              <w:bottom w:type="dxa" w:w="60"/>
              <w:right w:type="dxa" w:w="120"/>
            </w:tcMar>
          </w:tcPr>
          <w:p>
            <w:pPr>
              <w:spacing w:after="0"/>
            </w:pPr>
            <w:r>
              <w:rPr>
                <w:rFonts w:ascii="Calibri" w:cs="Calibri" w:eastAsia="Calibri" w:hAnsi="Calibri"/>
                <w:b w:val="false"/>
                <w:bCs w:val="false"/>
                <w:i w:val="false"/>
                <w:iCs w:val="false"/>
                <w:color w:val="222222"/>
                <w:sz w:val="22"/>
                <w:szCs w:val="22"/>
              </w:rPr>
              <w:t xml:space="preserve">Aproximadamente 18.900 líneas, organizadas en módulos didácticos (oraciones simples, compuestas, morfología, sintagmas, arcade, chispa y panel del profesor) y en un núcleo de servicios compartidos.</w:t>
            </w:r>
          </w:p>
        </w:tc>
      </w:tr>
      <w:tr>
        <w:tc>
          <w:tcPr>
            <w:tcW w:type="dxa" w:w="4200"/>
            <w:shd w:fill="F2F0EA" w:color="auto" w:val="clear"/>
            <w:tcMar>
              <w:top w:type="dxa" w:w="60"/>
              <w:left w:type="dxa" w:w="120"/>
              <w:bottom w:type="dxa" w:w="60"/>
              <w:right w:type="dxa" w:w="120"/>
            </w:tcMar>
          </w:tcPr>
          <w:p>
            <w:pPr>
              <w:spacing w:after="0"/>
            </w:pPr>
            <w:r>
              <w:rPr>
                <w:rFonts w:ascii="Calibri" w:cs="Calibri" w:eastAsia="Calibri" w:hAnsi="Calibri"/>
                <w:b/>
                <w:bCs/>
                <w:i w:val="false"/>
                <w:iCs w:val="false"/>
                <w:color w:val="102A43"/>
                <w:sz w:val="22"/>
                <w:szCs w:val="22"/>
              </w:rPr>
              <w:t xml:space="preserve">Backend (Google Apps Script)</w:t>
            </w:r>
          </w:p>
        </w:tc>
        <w:tc>
          <w:tcPr>
            <w:tcW w:type="dxa" w:w="5000"/>
            <w:tcMar>
              <w:top w:type="dxa" w:w="60"/>
              <w:left w:type="dxa" w:w="120"/>
              <w:bottom w:type="dxa" w:w="60"/>
              <w:right w:type="dxa" w:w="120"/>
            </w:tcMar>
          </w:tcPr>
          <w:p>
            <w:pPr>
              <w:spacing w:after="0"/>
            </w:pPr>
            <w:r>
              <w:rPr>
                <w:rFonts w:ascii="Calibri" w:cs="Calibri" w:eastAsia="Calibri" w:hAnsi="Calibri"/>
                <w:b w:val="false"/>
                <w:bCs w:val="false"/>
                <w:i w:val="false"/>
                <w:iCs w:val="false"/>
                <w:color w:val="222222"/>
                <w:sz w:val="22"/>
                <w:szCs w:val="22"/>
              </w:rPr>
              <w:t xml:space="preserve">Aproximadamente 8.400 líneas, distribuidas en el fichero principal y en módulos de compuestas, informes, envío a alumnos y analíticas.</w:t>
            </w:r>
          </w:p>
        </w:tc>
      </w:tr>
      <w:tr>
        <w:tc>
          <w:tcPr>
            <w:tcW w:type="dxa" w:w="4200"/>
            <w:shd w:fill="F2F0EA" w:color="auto" w:val="clear"/>
            <w:tcMar>
              <w:top w:type="dxa" w:w="60"/>
              <w:left w:type="dxa" w:w="120"/>
              <w:bottom w:type="dxa" w:w="60"/>
              <w:right w:type="dxa" w:w="120"/>
            </w:tcMar>
          </w:tcPr>
          <w:p>
            <w:pPr>
              <w:spacing w:after="0"/>
            </w:pPr>
            <w:r>
              <w:rPr>
                <w:rFonts w:ascii="Calibri" w:cs="Calibri" w:eastAsia="Calibri" w:hAnsi="Calibri"/>
                <w:b/>
                <w:bCs/>
                <w:i w:val="false"/>
                <w:iCs w:val="false"/>
                <w:color w:val="102A43"/>
                <w:sz w:val="22"/>
                <w:szCs w:val="22"/>
              </w:rPr>
              <w:t xml:space="preserve">Interfaz (HTML y CSS)</w:t>
            </w:r>
          </w:p>
        </w:tc>
        <w:tc>
          <w:tcPr>
            <w:tcW w:type="dxa" w:w="5000"/>
            <w:tcMar>
              <w:top w:type="dxa" w:w="60"/>
              <w:left w:type="dxa" w:w="120"/>
              <w:bottom w:type="dxa" w:w="60"/>
              <w:right w:type="dxa" w:w="120"/>
            </w:tcMar>
          </w:tcPr>
          <w:p>
            <w:pPr>
              <w:spacing w:after="0"/>
            </w:pPr>
            <w:r>
              <w:rPr>
                <w:rFonts w:ascii="Calibri" w:cs="Calibri" w:eastAsia="Calibri" w:hAnsi="Calibri"/>
                <w:b w:val="false"/>
                <w:bCs w:val="false"/>
                <w:i w:val="false"/>
                <w:iCs w:val="false"/>
                <w:color w:val="222222"/>
                <w:sz w:val="22"/>
                <w:szCs w:val="22"/>
              </w:rPr>
              <w:t xml:space="preserve">Aproximadamente 7.200 líneas de marcado y estilos.</w:t>
            </w:r>
          </w:p>
        </w:tc>
      </w:tr>
      <w:tr>
        <w:tc>
          <w:tcPr>
            <w:tcW w:type="dxa" w:w="4200"/>
            <w:shd w:fill="F2F0EA" w:color="auto" w:val="clear"/>
            <w:tcMar>
              <w:top w:type="dxa" w:w="60"/>
              <w:left w:type="dxa" w:w="120"/>
              <w:bottom w:type="dxa" w:w="60"/>
              <w:right w:type="dxa" w:w="120"/>
            </w:tcMar>
          </w:tcPr>
          <w:p>
            <w:pPr>
              <w:spacing w:after="0"/>
            </w:pPr>
            <w:r>
              <w:rPr>
                <w:rFonts w:ascii="Calibri" w:cs="Calibri" w:eastAsia="Calibri" w:hAnsi="Calibri"/>
                <w:b/>
                <w:bCs/>
                <w:i w:val="false"/>
                <w:iCs w:val="false"/>
                <w:color w:val="102A43"/>
                <w:sz w:val="22"/>
                <w:szCs w:val="22"/>
              </w:rPr>
              <w:t xml:space="preserve">Total de código fuente</w:t>
            </w:r>
          </w:p>
        </w:tc>
        <w:tc>
          <w:tcPr>
            <w:tcW w:type="dxa" w:w="5000"/>
            <w:tcMar>
              <w:top w:type="dxa" w:w="60"/>
              <w:left w:type="dxa" w:w="120"/>
              <w:bottom w:type="dxa" w:w="60"/>
              <w:right w:type="dxa" w:w="120"/>
            </w:tcMar>
          </w:tcPr>
          <w:p>
            <w:pPr>
              <w:spacing w:after="0"/>
            </w:pPr>
            <w:r>
              <w:rPr>
                <w:rFonts w:ascii="Calibri" w:cs="Calibri" w:eastAsia="Calibri" w:hAnsi="Calibri"/>
                <w:b w:val="false"/>
                <w:bCs w:val="false"/>
                <w:i w:val="false"/>
                <w:iCs w:val="false"/>
                <w:color w:val="222222"/>
                <w:sz w:val="22"/>
                <w:szCs w:val="22"/>
              </w:rPr>
              <w:t xml:space="preserve">Más de 34.000 líneas (sin contar la documentación técnica del proyecto).</w:t>
            </w:r>
          </w:p>
        </w:tc>
      </w:tr>
    </w:tbl>
    <w:p>
      <w:pPr>
        <w:spacing w:after="80"/>
      </w:pPr>
    </w:p>
    <w:p>
      <w:pPr>
        <w:spacing w:after="120" w:line="276"/>
        <w:jc w:val="both"/>
      </w:pPr>
      <w:r>
        <w:rPr>
          <w:rFonts w:ascii="Calibri" w:cs="Calibri" w:eastAsia="Calibri" w:hAnsi="Calibri"/>
          <w:sz w:val="22"/>
          <w:szCs w:val="22"/>
        </w:rPr>
        <w:t xml:space="preserve">Los módulos didácticos de mayor extensión son el de la oración compuesta (unas 5.500 líneas) y el de la oración simple (unas 4.000 líneas), seguidos del módulo de morfología avanzada (cerca de 2.000 líneas) y del panel del profesor con sus informes (más de 2.200 líneas).</w:t>
      </w:r>
    </w:p>
    <w:p>
      <w:pPr>
        <w:pStyle w:val="Heading2"/>
        <w:spacing w:after="100" w:before="220"/>
      </w:pPr>
      <w:r>
        <w:rPr>
          <w:rFonts w:ascii="Calibri" w:cs="Calibri" w:eastAsia="Calibri" w:hAnsi="Calibri"/>
          <w:b/>
          <w:bCs/>
          <w:color w:val="0F766E"/>
          <w:sz w:val="25"/>
          <w:szCs w:val="25"/>
        </w:rPr>
        <w:t xml:space="preserve">6.3  Comunicación con el servidor</w:t>
      </w:r>
    </w:p>
    <w:p>
      <w:pPr>
        <w:spacing w:after="120" w:line="276"/>
        <w:jc w:val="both"/>
      </w:pPr>
      <w:r>
        <w:rPr>
          <w:rFonts w:ascii="Calibri" w:cs="Calibri" w:eastAsia="Calibri" w:hAnsi="Calibri"/>
          <w:sz w:val="22"/>
          <w:szCs w:val="22"/>
        </w:rPr>
        <w:t xml:space="preserve">El cliente se comunica con el backend mediante peticiones a un único punto de acceso, en las que un parámetro de acción determina la operación a ejecutar (carga de bancos de oraciones y de exámenes, guardado de resultados, registro de analíticas, etc.). Las respuestas se devuelven en formato JSON. El backend gobierna el acceso a las distintas hojas de datos (bancos de oraciones simples y compuestas, textos de morfología, configuraciones de examen, resultados, rankings y registros de práctica).</w:t>
      </w:r>
    </w:p>
    <w:p>
      <w:pPr>
        <w:spacing w:after="80"/>
      </w:pPr>
    </w:p>
    <w:p>
      <w:pPr>
        <w:pStyle w:val="Heading1"/>
        <w:spacing w:after="140" w:before="320"/>
      </w:pPr>
      <w:r>
        <w:rPr>
          <w:rFonts w:ascii="Calibri" w:cs="Calibri" w:eastAsia="Calibri" w:hAnsi="Calibri"/>
          <w:b/>
          <w:bCs/>
          <w:color w:val="102A43"/>
          <w:sz w:val="30"/>
          <w:szCs w:val="30"/>
        </w:rPr>
        <w:t xml:space="preserve">7.  Entorno de ejecución</w:t>
      </w:r>
    </w:p>
    <w:p>
      <w:pPr>
        <w:pStyle w:val="ListParagraph"/>
        <w:numPr>
          <w:ilvl w:val="0"/>
          <w:numId w:val="2"/>
        </w:numPr>
        <w:spacing w:after="60" w:line="268"/>
      </w:pPr>
      <w:r>
        <w:rPr>
          <w:rFonts w:ascii="Calibri" w:cs="Calibri" w:eastAsia="Calibri" w:hAnsi="Calibri"/>
          <w:b/>
          <w:bCs/>
          <w:i w:val="false"/>
          <w:iCs w:val="false"/>
          <w:color w:val="222222"/>
          <w:sz w:val="22"/>
          <w:szCs w:val="22"/>
        </w:rPr>
        <w:t xml:space="preserve">Plataforma: </w:t>
      </w:r>
      <w:r>
        <w:rPr>
          <w:rFonts w:ascii="Calibri" w:cs="Calibri" w:eastAsia="Calibri" w:hAnsi="Calibri"/>
          <w:b w:val="false"/>
          <w:bCs w:val="false"/>
          <w:i w:val="false"/>
          <w:iCs w:val="false"/>
          <w:color w:val="222222"/>
          <w:sz w:val="22"/>
          <w:szCs w:val="22"/>
        </w:rPr>
        <w:t xml:space="preserve">cualquier navegador web moderno (equipos de sobremesa, portátiles y tabletas), sin instalación previa.</w:t>
      </w:r>
    </w:p>
    <w:p>
      <w:pPr>
        <w:pStyle w:val="ListParagraph"/>
        <w:numPr>
          <w:ilvl w:val="0"/>
          <w:numId w:val="2"/>
        </w:numPr>
        <w:spacing w:after="60" w:line="268"/>
      </w:pPr>
      <w:r>
        <w:rPr>
          <w:rFonts w:ascii="Calibri" w:cs="Calibri" w:eastAsia="Calibri" w:hAnsi="Calibri"/>
          <w:b/>
          <w:bCs/>
          <w:i w:val="false"/>
          <w:iCs w:val="false"/>
          <w:color w:val="222222"/>
          <w:sz w:val="22"/>
          <w:szCs w:val="22"/>
        </w:rPr>
        <w:t xml:space="preserve">Cliente: </w:t>
      </w:r>
      <w:r>
        <w:rPr>
          <w:rFonts w:ascii="Calibri" w:cs="Calibri" w:eastAsia="Calibri" w:hAnsi="Calibri"/>
          <w:b w:val="false"/>
          <w:bCs w:val="false"/>
          <w:i w:val="false"/>
          <w:iCs w:val="false"/>
          <w:color w:val="222222"/>
          <w:sz w:val="22"/>
          <w:szCs w:val="22"/>
        </w:rPr>
        <w:t xml:space="preserve">HTML5, CSS3 y JavaScript ES6 con módulos nativos.</w:t>
      </w:r>
    </w:p>
    <w:p>
      <w:pPr>
        <w:pStyle w:val="ListParagraph"/>
        <w:numPr>
          <w:ilvl w:val="0"/>
          <w:numId w:val="2"/>
        </w:numPr>
        <w:spacing w:after="60" w:line="268"/>
      </w:pPr>
      <w:r>
        <w:rPr>
          <w:rFonts w:ascii="Calibri" w:cs="Calibri" w:eastAsia="Calibri" w:hAnsi="Calibri"/>
          <w:b/>
          <w:bCs/>
          <w:i w:val="false"/>
          <w:iCs w:val="false"/>
          <w:color w:val="222222"/>
          <w:sz w:val="22"/>
          <w:szCs w:val="22"/>
        </w:rPr>
        <w:t xml:space="preserve">Servidor: </w:t>
      </w:r>
      <w:r>
        <w:rPr>
          <w:rFonts w:ascii="Calibri" w:cs="Calibri" w:eastAsia="Calibri" w:hAnsi="Calibri"/>
          <w:b w:val="false"/>
          <w:bCs w:val="false"/>
          <w:i w:val="false"/>
          <w:iCs w:val="false"/>
          <w:color w:val="222222"/>
          <w:sz w:val="22"/>
          <w:szCs w:val="22"/>
        </w:rPr>
        <w:t xml:space="preserve">Google Apps Script sobre un servicio de hoja de cálculo en la nube.</w:t>
      </w:r>
    </w:p>
    <w:p>
      <w:pPr>
        <w:pStyle w:val="ListParagraph"/>
        <w:numPr>
          <w:ilvl w:val="0"/>
          <w:numId w:val="2"/>
        </w:numPr>
        <w:spacing w:after="60" w:line="268"/>
      </w:pPr>
      <w:r>
        <w:rPr>
          <w:rFonts w:ascii="Calibri" w:cs="Calibri" w:eastAsia="Calibri" w:hAnsi="Calibri"/>
          <w:b/>
          <w:bCs/>
          <w:i w:val="false"/>
          <w:iCs w:val="false"/>
          <w:color w:val="222222"/>
          <w:sz w:val="22"/>
          <w:szCs w:val="22"/>
        </w:rPr>
        <w:t xml:space="preserve">Persistencia local: </w:t>
      </w:r>
      <w:r>
        <w:rPr>
          <w:rFonts w:ascii="Calibri" w:cs="Calibri" w:eastAsia="Calibri" w:hAnsi="Calibri"/>
          <w:b w:val="false"/>
          <w:bCs w:val="false"/>
          <w:i w:val="false"/>
          <w:iCs w:val="false"/>
          <w:color w:val="222222"/>
          <w:sz w:val="22"/>
          <w:szCs w:val="22"/>
        </w:rPr>
        <w:t xml:space="preserve">almacenamiento local del navegador (perfil, progreso, preferencias).</w:t>
      </w:r>
    </w:p>
    <w:p>
      <w:pPr>
        <w:pStyle w:val="ListParagraph"/>
        <w:numPr>
          <w:ilvl w:val="0"/>
          <w:numId w:val="2"/>
        </w:numPr>
        <w:spacing w:after="60" w:line="268"/>
      </w:pPr>
      <w:r>
        <w:rPr>
          <w:rFonts w:ascii="Calibri" w:cs="Calibri" w:eastAsia="Calibri" w:hAnsi="Calibri"/>
          <w:b/>
          <w:bCs/>
          <w:i w:val="false"/>
          <w:iCs w:val="false"/>
          <w:color w:val="222222"/>
          <w:sz w:val="22"/>
          <w:szCs w:val="22"/>
        </w:rPr>
        <w:t xml:space="preserve">Sonido: </w:t>
      </w:r>
      <w:r>
        <w:rPr>
          <w:rFonts w:ascii="Calibri" w:cs="Calibri" w:eastAsia="Calibri" w:hAnsi="Calibri"/>
          <w:b w:val="false"/>
          <w:bCs w:val="false"/>
          <w:i w:val="false"/>
          <w:iCs w:val="false"/>
          <w:color w:val="222222"/>
          <w:sz w:val="22"/>
          <w:szCs w:val="22"/>
        </w:rPr>
        <w:t xml:space="preserve">Web Audio API (generación de sonidos por síntesis, sin ficheros de audio).</w:t>
      </w:r>
    </w:p>
    <w:p>
      <w:pPr>
        <w:pStyle w:val="ListParagraph"/>
        <w:numPr>
          <w:ilvl w:val="0"/>
          <w:numId w:val="2"/>
        </w:numPr>
        <w:spacing w:after="60" w:line="268"/>
      </w:pPr>
      <w:r>
        <w:rPr>
          <w:rFonts w:ascii="Calibri" w:cs="Calibri" w:eastAsia="Calibri" w:hAnsi="Calibri"/>
          <w:b/>
          <w:bCs/>
          <w:i w:val="false"/>
          <w:iCs w:val="false"/>
          <w:color w:val="222222"/>
          <w:sz w:val="22"/>
          <w:szCs w:val="22"/>
        </w:rPr>
        <w:t xml:space="preserve">Dependencias externas: </w:t>
      </w:r>
      <w:r>
        <w:rPr>
          <w:rFonts w:ascii="Calibri" w:cs="Calibri" w:eastAsia="Calibri" w:hAnsi="Calibri"/>
          <w:b w:val="false"/>
          <w:bCs w:val="false"/>
          <w:i w:val="false"/>
          <w:iCs w:val="false"/>
          <w:color w:val="222222"/>
          <w:sz w:val="22"/>
          <w:szCs w:val="22"/>
        </w:rPr>
        <w:t xml:space="preserve">ninguna biblioteca de terceros; únicamente fuentes tipográficas web de uso libre.</w:t>
      </w:r>
    </w:p>
    <w:p>
      <w:pPr>
        <w:spacing w:after="80"/>
      </w:pPr>
    </w:p>
    <w:p>
      <w:pPr>
        <w:pStyle w:val="Heading1"/>
        <w:spacing w:after="140" w:before="320"/>
      </w:pPr>
      <w:r>
        <w:rPr>
          <w:rFonts w:ascii="Calibri" w:cs="Calibri" w:eastAsia="Calibri" w:hAnsi="Calibri"/>
          <w:b/>
          <w:bCs/>
          <w:color w:val="102A43"/>
          <w:sz w:val="30"/>
          <w:szCs w:val="30"/>
        </w:rPr>
        <w:t xml:space="preserve">8.  Declaración de autoría y originalidad</w:t>
      </w:r>
    </w:p>
    <w:p>
      <w:pPr>
        <w:spacing w:after="120" w:line="276"/>
        <w:jc w:val="both"/>
      </w:pPr>
      <w:r>
        <w:rPr>
          <w:rFonts w:ascii="Calibri" w:cs="Calibri" w:eastAsia="Calibri" w:hAnsi="Calibri"/>
          <w:b/>
          <w:bCs/>
          <w:color w:val="B00020"/>
          <w:sz w:val="22"/>
          <w:szCs w:val="22"/>
          <w:highlight w:val="yellow"/>
          <w:highlightCs w:val="yellow"/>
        </w:rPr>
        <w:t xml:space="preserve">[El/La solicitante, D./D.ª ____________________, con DNI ____________]</w:t>
      </w:r>
      <w:r>
        <w:rPr>
          <w:rFonts w:ascii="Calibri" w:cs="Calibri" w:eastAsia="Calibri" w:hAnsi="Calibri"/>
          <w:b w:val="false"/>
          <w:bCs w:val="false"/>
          <w:i w:val="false"/>
          <w:iCs w:val="false"/>
          <w:color w:val="222222"/>
          <w:sz w:val="22"/>
          <w:szCs w:val="22"/>
        </w:rPr>
        <w:t xml:space="preserve"> declara que es autor/a y titular de los derechos de explotación del programa de ordenador «Taller de Sintaxis» en su versión 6.2; que dicho programa y los contenidos didácticos originales descritos en el apartado 5 constituyen una creación intelectual original; que las funcionalidades, el código y dichos contenidos son obra propia; que los fragmentos de obras de terceros empleados a título de ilustración quedan excluidos de esta inscripción; y que solicita la ampliación de la inscripción registral existente a fin de incorporar la versión y las funcionalidades aquí documentadas.</w:t>
      </w:r>
    </w:p>
    <w:p>
      <w:pPr>
        <w:spacing w:after="400"/>
      </w:pPr>
    </w:p>
    <w:p>
      <w:pPr>
        <w:spacing w:after="0" w:before="600"/>
        <w:jc w:val="center"/>
      </w:pPr>
      <w:r>
        <w:rPr>
          <w:rFonts w:ascii="Calibri" w:cs="Calibri" w:eastAsia="Calibri" w:hAnsi="Calibri"/>
          <w:b w:val="false"/>
          <w:bCs w:val="false"/>
          <w:i w:val="false"/>
          <w:iCs w:val="false"/>
          <w:color w:val="5B6570"/>
          <w:sz w:val="22"/>
          <w:szCs w:val="22"/>
        </w:rPr>
        <w:t xml:space="preserve">En Murcia, a ______ de _________________ de 20____.</w:t>
      </w:r>
    </w:p>
    <w:p>
      <w:pPr>
        <w:spacing w:after="500"/>
      </w:pPr>
    </w:p>
    <w:p>
      <w:pPr>
        <w:spacing w:after="0"/>
        <w:jc w:val="center"/>
      </w:pPr>
      <w:r>
        <w:rPr>
          <w:rFonts w:ascii="Calibri" w:cs="Calibri" w:eastAsia="Calibri" w:hAnsi="Calibri"/>
          <w:b/>
          <w:bCs/>
          <w:i w:val="false"/>
          <w:iCs w:val="false"/>
          <w:color w:val="222222"/>
          <w:sz w:val="22"/>
          <w:szCs w:val="22"/>
        </w:rPr>
        <w:t xml:space="preserve">Fdo.: </w:t>
      </w:r>
      <w:r>
        <w:rPr>
          <w:rFonts w:ascii="Calibri" w:cs="Calibri" w:eastAsia="Calibri" w:hAnsi="Calibri"/>
          <w:b/>
          <w:bCs/>
          <w:color w:val="B00020"/>
          <w:sz w:val="22"/>
          <w:szCs w:val="22"/>
          <w:highlight w:val="yellow"/>
          <w:highlightCs w:val="yellow"/>
        </w:rPr>
        <w:t xml:space="preserve">[Nombre y apellidos del autor y titular]</w:t>
      </w:r>
    </w:p>
    <w:p>
      <w:r>
        <w:br w:type="page"/>
      </w:r>
    </w:p>
    <w:p>
      <w:pPr>
        <w:pStyle w:val="Heading1"/>
        <w:spacing w:after="140" w:before="320"/>
      </w:pPr>
      <w:r>
        <w:rPr>
          <w:rFonts w:ascii="Calibri" w:cs="Calibri" w:eastAsia="Calibri" w:hAnsi="Calibri"/>
          <w:b/>
          <w:bCs/>
          <w:color w:val="102A43"/>
          <w:sz w:val="30"/>
          <w:szCs w:val="30"/>
        </w:rPr>
        <w:t xml:space="preserve">9.  Anexo — Relación de ficheros de la obra</w:t>
      </w:r>
    </w:p>
    <w:p>
      <w:pPr>
        <w:spacing w:after="120" w:line="276"/>
        <w:jc w:val="both"/>
      </w:pPr>
      <w:r>
        <w:rPr>
          <w:rFonts w:ascii="Calibri" w:cs="Calibri" w:eastAsia="Calibri" w:hAnsi="Calibri"/>
          <w:sz w:val="22"/>
          <w:szCs w:val="22"/>
        </w:rPr>
        <w:t xml:space="preserve">A efectos identificativos, se relacionan los ficheros que componen el código fuente de esta versión del programa y los contenidos didácticos originales, cuyo contenido íntegro se aporta como material de la solicitud.</w:t>
      </w:r>
    </w:p>
    <w:p>
      <w:pPr>
        <w:pStyle w:val="Heading2"/>
        <w:spacing w:after="100" w:before="220"/>
      </w:pPr>
      <w:r>
        <w:rPr>
          <w:rFonts w:ascii="Calibri" w:cs="Calibri" w:eastAsia="Calibri" w:hAnsi="Calibri"/>
          <w:b/>
          <w:bCs/>
          <w:color w:val="0F766E"/>
          <w:sz w:val="25"/>
          <w:szCs w:val="25"/>
        </w:rPr>
        <w:t xml:space="preserve">Interfaz</w:t>
      </w:r>
    </w:p>
    <w:p>
      <w:pPr>
        <w:pStyle w:val="ListParagraph"/>
        <w:numPr>
          <w:ilvl w:val="0"/>
          <w:numId w:val="2"/>
        </w:numPr>
        <w:spacing w:after="60" w:line="268"/>
      </w:pPr>
      <w:r>
        <w:rPr>
          <w:rFonts w:ascii="Calibri" w:cs="Calibri" w:eastAsia="Calibri" w:hAnsi="Calibri"/>
          <w:b w:val="false"/>
          <w:bCs w:val="false"/>
          <w:i w:val="false"/>
          <w:iCs w:val="false"/>
          <w:color w:val="222222"/>
          <w:sz w:val="22"/>
          <w:szCs w:val="22"/>
        </w:rPr>
        <w:t xml:space="preserve">index.html — estructura de las pantallas de la aplicación.</w:t>
      </w:r>
    </w:p>
    <w:p>
      <w:pPr>
        <w:pStyle w:val="ListParagraph"/>
        <w:numPr>
          <w:ilvl w:val="0"/>
          <w:numId w:val="2"/>
        </w:numPr>
        <w:spacing w:after="60" w:line="268"/>
      </w:pPr>
      <w:r>
        <w:rPr>
          <w:rFonts w:ascii="Calibri" w:cs="Calibri" w:eastAsia="Calibri" w:hAnsi="Calibri"/>
          <w:b w:val="false"/>
          <w:bCs w:val="false"/>
          <w:i w:val="false"/>
          <w:iCs w:val="false"/>
          <w:color w:val="222222"/>
          <w:sz w:val="22"/>
          <w:szCs w:val="22"/>
        </w:rPr>
        <w:t xml:space="preserve">css/tokens.css, css/legacy.css, css/theme/new-ui.css — hojas de estilo.</w:t>
      </w:r>
    </w:p>
    <w:p>
      <w:pPr>
        <w:pStyle w:val="Heading2"/>
        <w:spacing w:after="100" w:before="220"/>
      </w:pPr>
      <w:r>
        <w:rPr>
          <w:rFonts w:ascii="Calibri" w:cs="Calibri" w:eastAsia="Calibri" w:hAnsi="Calibri"/>
          <w:b/>
          <w:bCs/>
          <w:color w:val="0F766E"/>
          <w:sz w:val="25"/>
          <w:szCs w:val="25"/>
        </w:rPr>
        <w:t xml:space="preserve">Núcleo de servicios (js/core, js/data, js/feedback, js/gamification, js/glosario)</w:t>
      </w:r>
    </w:p>
    <w:p>
      <w:pPr>
        <w:pStyle w:val="ListParagraph"/>
        <w:numPr>
          <w:ilvl w:val="0"/>
          <w:numId w:val="2"/>
        </w:numPr>
        <w:spacing w:after="60" w:line="268"/>
      </w:pPr>
      <w:r>
        <w:rPr>
          <w:rFonts w:ascii="Calibri" w:cs="Calibri" w:eastAsia="Calibri" w:hAnsi="Calibri"/>
          <w:b w:val="false"/>
          <w:bCs w:val="false"/>
          <w:i w:val="false"/>
          <w:iCs w:val="false"/>
          <w:color w:val="222222"/>
          <w:sz w:val="22"/>
          <w:szCs w:val="22"/>
        </w:rPr>
        <w:t xml:space="preserve">Servicios de red, navegación, perfil, almacenamiento, audio, autenticación y sanitización.</w:t>
      </w:r>
    </w:p>
    <w:p>
      <w:pPr>
        <w:pStyle w:val="ListParagraph"/>
        <w:numPr>
          <w:ilvl w:val="0"/>
          <w:numId w:val="2"/>
        </w:numPr>
        <w:spacing w:after="60" w:line="268"/>
      </w:pPr>
      <w:r>
        <w:rPr>
          <w:rFonts w:ascii="Calibri" w:cs="Calibri" w:eastAsia="Calibri" w:hAnsi="Calibri"/>
          <w:b w:val="false"/>
          <w:bCs w:val="false"/>
          <w:i w:val="false"/>
          <w:iCs w:val="false"/>
          <w:color w:val="222222"/>
          <w:sz w:val="22"/>
          <w:szCs w:val="22"/>
        </w:rPr>
        <w:t xml:space="preserve">Diccionarios de datos, retroalimentación escalonada, gamificación y etiquetado de funciones.</w:t>
      </w:r>
    </w:p>
    <w:p>
      <w:pPr>
        <w:pStyle w:val="Heading2"/>
        <w:spacing w:after="100" w:before="220"/>
      </w:pPr>
      <w:r>
        <w:rPr>
          <w:rFonts w:ascii="Calibri" w:cs="Calibri" w:eastAsia="Calibri" w:hAnsi="Calibri"/>
          <w:b/>
          <w:bCs/>
          <w:color w:val="0F766E"/>
          <w:sz w:val="25"/>
          <w:szCs w:val="25"/>
        </w:rPr>
        <w:t xml:space="preserve">Módulos didácticos (js/modules)</w:t>
      </w:r>
    </w:p>
    <w:p>
      <w:pPr>
        <w:pStyle w:val="ListParagraph"/>
        <w:numPr>
          <w:ilvl w:val="0"/>
          <w:numId w:val="2"/>
        </w:numPr>
        <w:spacing w:after="60" w:line="268"/>
      </w:pPr>
      <w:r>
        <w:rPr>
          <w:rFonts w:ascii="Calibri" w:cs="Calibri" w:eastAsia="Calibri" w:hAnsi="Calibri"/>
          <w:b w:val="false"/>
          <w:bCs w:val="false"/>
          <w:i w:val="false"/>
          <w:iCs w:val="false"/>
          <w:color w:val="222222"/>
          <w:sz w:val="22"/>
          <w:szCs w:val="22"/>
        </w:rPr>
        <w:t xml:space="preserve">sint/index.js — motor de la oración simple.</w:t>
      </w:r>
    </w:p>
    <w:p>
      <w:pPr>
        <w:pStyle w:val="ListParagraph"/>
        <w:numPr>
          <w:ilvl w:val="0"/>
          <w:numId w:val="2"/>
        </w:numPr>
        <w:spacing w:after="60" w:line="268"/>
      </w:pPr>
      <w:r>
        <w:rPr>
          <w:rFonts w:ascii="Calibri" w:cs="Calibri" w:eastAsia="Calibri" w:hAnsi="Calibri"/>
          <w:b w:val="false"/>
          <w:bCs w:val="false"/>
          <w:i w:val="false"/>
          <w:iCs w:val="false"/>
          <w:color w:val="222222"/>
          <w:sz w:val="22"/>
          <w:szCs w:val="22"/>
        </w:rPr>
        <w:t xml:space="preserve">compuestas/index.js — motor de la oración compuesta.</w:t>
      </w:r>
    </w:p>
    <w:p>
      <w:pPr>
        <w:pStyle w:val="ListParagraph"/>
        <w:numPr>
          <w:ilvl w:val="0"/>
          <w:numId w:val="2"/>
        </w:numPr>
        <w:spacing w:after="60" w:line="268"/>
      </w:pPr>
      <w:r>
        <w:rPr>
          <w:rFonts w:ascii="Calibri" w:cs="Calibri" w:eastAsia="Calibri" w:hAnsi="Calibri"/>
          <w:b w:val="false"/>
          <w:bCs w:val="false"/>
          <w:i w:val="false"/>
          <w:iCs w:val="false"/>
          <w:color w:val="222222"/>
          <w:sz w:val="22"/>
          <w:szCs w:val="22"/>
        </w:rPr>
        <w:t xml:space="preserve">maestro/index.js — análisis morfológico en tres niveles.</w:t>
      </w:r>
    </w:p>
    <w:p>
      <w:pPr>
        <w:pStyle w:val="ListParagraph"/>
        <w:numPr>
          <w:ilvl w:val="0"/>
          <w:numId w:val="2"/>
        </w:numPr>
        <w:spacing w:after="60" w:line="268"/>
      </w:pPr>
      <w:r>
        <w:rPr>
          <w:rFonts w:ascii="Calibri" w:cs="Calibri" w:eastAsia="Calibri" w:hAnsi="Calibri"/>
          <w:b w:val="false"/>
          <w:bCs w:val="false"/>
          <w:i w:val="false"/>
          <w:iCs w:val="false"/>
          <w:color w:val="222222"/>
          <w:sz w:val="22"/>
          <w:szCs w:val="22"/>
        </w:rPr>
        <w:t xml:space="preserve">chispa/index.js — modo de identificación rápida de funciones.</w:t>
      </w:r>
    </w:p>
    <w:p>
      <w:pPr>
        <w:pStyle w:val="ListParagraph"/>
        <w:numPr>
          <w:ilvl w:val="0"/>
          <w:numId w:val="2"/>
        </w:numPr>
        <w:spacing w:after="60" w:line="268"/>
      </w:pPr>
      <w:r>
        <w:rPr>
          <w:rFonts w:ascii="Calibri" w:cs="Calibri" w:eastAsia="Calibri" w:hAnsi="Calibri"/>
          <w:b w:val="false"/>
          <w:bCs w:val="false"/>
          <w:i w:val="false"/>
          <w:iCs w:val="false"/>
          <w:color w:val="222222"/>
          <w:sz w:val="22"/>
          <w:szCs w:val="22"/>
        </w:rPr>
        <w:t xml:space="preserve">arcade/index.js — modo de juego con cuatro submodalidades.</w:t>
      </w:r>
    </w:p>
    <w:p>
      <w:pPr>
        <w:pStyle w:val="ListParagraph"/>
        <w:numPr>
          <w:ilvl w:val="0"/>
          <w:numId w:val="2"/>
        </w:numPr>
        <w:spacing w:after="60" w:line="268"/>
      </w:pPr>
      <w:r>
        <w:rPr>
          <w:rFonts w:ascii="Calibri" w:cs="Calibri" w:eastAsia="Calibri" w:hAnsi="Calibri"/>
          <w:b w:val="false"/>
          <w:bCs w:val="false"/>
          <w:i w:val="false"/>
          <w:iCs w:val="false"/>
          <w:color w:val="222222"/>
          <w:sz w:val="22"/>
          <w:szCs w:val="22"/>
        </w:rPr>
        <w:t xml:space="preserve">sintagmas/index.js — análisis de sintagmas.</w:t>
      </w:r>
    </w:p>
    <w:p>
      <w:pPr>
        <w:pStyle w:val="ListParagraph"/>
        <w:numPr>
          <w:ilvl w:val="0"/>
          <w:numId w:val="2"/>
        </w:numPr>
        <w:spacing w:after="60" w:line="268"/>
      </w:pPr>
      <w:r>
        <w:rPr>
          <w:rFonts w:ascii="Calibri" w:cs="Calibri" w:eastAsia="Calibri" w:hAnsi="Calibri"/>
          <w:b w:val="false"/>
          <w:bCs w:val="false"/>
          <w:i w:val="false"/>
          <w:iCs w:val="false"/>
          <w:color w:val="222222"/>
          <w:sz w:val="22"/>
          <w:szCs w:val="22"/>
        </w:rPr>
        <w:t xml:space="preserve">teacher/index.js e informe-excel.js — panel del profesor e informes.</w:t>
      </w:r>
    </w:p>
    <w:p>
      <w:pPr>
        <w:pStyle w:val="ListParagraph"/>
        <w:numPr>
          <w:ilvl w:val="0"/>
          <w:numId w:val="2"/>
        </w:numPr>
        <w:spacing w:after="60" w:line="268"/>
      </w:pPr>
      <w:r>
        <w:rPr>
          <w:rFonts w:ascii="Calibri" w:cs="Calibri" w:eastAsia="Calibri" w:hAnsi="Calibri"/>
          <w:b w:val="false"/>
          <w:bCs w:val="false"/>
          <w:i w:val="false"/>
          <w:iCs w:val="false"/>
          <w:color w:val="222222"/>
          <w:sz w:val="22"/>
          <w:szCs w:val="22"/>
        </w:rPr>
        <w:t xml:space="preserve">app.js — punto de entrada que integra todos los módulos.</w:t>
      </w:r>
    </w:p>
    <w:p>
      <w:pPr>
        <w:pStyle w:val="Heading2"/>
        <w:spacing w:after="100" w:before="220"/>
      </w:pPr>
      <w:r>
        <w:rPr>
          <w:rFonts w:ascii="Calibri" w:cs="Calibri" w:eastAsia="Calibri" w:hAnsi="Calibri"/>
          <w:b/>
          <w:bCs/>
          <w:color w:val="0F766E"/>
          <w:sz w:val="25"/>
          <w:szCs w:val="25"/>
        </w:rPr>
        <w:t xml:space="preserve">Backend (server / Google Apps Script)</w:t>
      </w:r>
    </w:p>
    <w:p>
      <w:pPr>
        <w:pStyle w:val="ListParagraph"/>
        <w:numPr>
          <w:ilvl w:val="0"/>
          <w:numId w:val="2"/>
        </w:numPr>
        <w:spacing w:after="60" w:line="268"/>
      </w:pPr>
      <w:r>
        <w:rPr>
          <w:rFonts w:ascii="Calibri" w:cs="Calibri" w:eastAsia="Calibri" w:hAnsi="Calibri"/>
          <w:b w:val="false"/>
          <w:bCs w:val="false"/>
          <w:i w:val="false"/>
          <w:iCs w:val="false"/>
          <w:color w:val="222222"/>
          <w:sz w:val="22"/>
          <w:szCs w:val="22"/>
        </w:rPr>
        <w:t xml:space="preserve">Code_v6.gs — backend principal.</w:t>
      </w:r>
    </w:p>
    <w:p>
      <w:pPr>
        <w:pStyle w:val="ListParagraph"/>
        <w:numPr>
          <w:ilvl w:val="0"/>
          <w:numId w:val="2"/>
        </w:numPr>
        <w:spacing w:after="60" w:line="268"/>
      </w:pPr>
      <w:r>
        <w:rPr>
          <w:rFonts w:ascii="Calibri" w:cs="Calibri" w:eastAsia="Calibri" w:hAnsi="Calibri"/>
          <w:b w:val="false"/>
          <w:bCs w:val="false"/>
          <w:i w:val="false"/>
          <w:iCs w:val="false"/>
          <w:color w:val="222222"/>
          <w:sz w:val="22"/>
          <w:szCs w:val="22"/>
        </w:rPr>
        <w:t xml:space="preserve">Compuestas.gs — backend del módulo de compuestas.</w:t>
      </w:r>
    </w:p>
    <w:p>
      <w:pPr>
        <w:pStyle w:val="ListParagraph"/>
        <w:numPr>
          <w:ilvl w:val="0"/>
          <w:numId w:val="2"/>
        </w:numPr>
        <w:spacing w:after="60" w:line="268"/>
      </w:pPr>
      <w:r>
        <w:rPr>
          <w:rFonts w:ascii="Calibri" w:cs="Calibri" w:eastAsia="Calibri" w:hAnsi="Calibri"/>
          <w:b w:val="false"/>
          <w:bCs w:val="false"/>
          <w:i w:val="false"/>
          <w:iCs w:val="false"/>
          <w:color w:val="222222"/>
          <w:sz w:val="22"/>
          <w:szCs w:val="22"/>
        </w:rPr>
        <w:t xml:space="preserve">EnviarInformes.gs, InformeExamen.gs, FormatoResultados.gs, Minigraficos.gs, TablaGrupos.gs, AnaliticaEvolutiva.gs, EvolucionAlumnos.gs, ChispaStats.gs — informes, envíos y analíticas.</w:t>
      </w:r>
    </w:p>
    <w:p>
      <w:pPr>
        <w:pStyle w:val="Heading2"/>
        <w:spacing w:after="100" w:before="220"/>
      </w:pPr>
      <w:r>
        <w:rPr>
          <w:rFonts w:ascii="Calibri" w:cs="Calibri" w:eastAsia="Calibri" w:hAnsi="Calibri"/>
          <w:b/>
          <w:bCs/>
          <w:color w:val="0F766E"/>
          <w:sz w:val="25"/>
          <w:szCs w:val="25"/>
        </w:rPr>
        <w:t xml:space="preserve">Contenidos didácticos originales</w:t>
      </w:r>
    </w:p>
    <w:p>
      <w:pPr>
        <w:pStyle w:val="ListParagraph"/>
        <w:numPr>
          <w:ilvl w:val="0"/>
          <w:numId w:val="2"/>
        </w:numPr>
        <w:spacing w:after="60" w:line="268"/>
      </w:pPr>
      <w:r>
        <w:rPr>
          <w:rFonts w:ascii="Calibri" w:cs="Calibri" w:eastAsia="Calibri" w:hAnsi="Calibri"/>
          <w:b w:val="false"/>
          <w:bCs w:val="false"/>
          <w:i w:val="false"/>
          <w:iCs w:val="false"/>
          <w:color w:val="222222"/>
          <w:sz w:val="22"/>
          <w:szCs w:val="22"/>
        </w:rPr>
        <w:t xml:space="preserve">Banco_reflexion_metalinguistica.md — banco de ítems de reflexión metalingüística.</w:t>
      </w:r>
    </w:p>
    <w:p>
      <w:pPr>
        <w:pStyle w:val="ListParagraph"/>
        <w:numPr>
          <w:ilvl w:val="0"/>
          <w:numId w:val="2"/>
        </w:numPr>
        <w:spacing w:after="60" w:line="268"/>
      </w:pPr>
      <w:r>
        <w:rPr>
          <w:rFonts w:ascii="Calibri" w:cs="Calibri" w:eastAsia="Calibri" w:hAnsi="Calibri"/>
          <w:b w:val="false"/>
          <w:bCs w:val="false"/>
          <w:i w:val="false"/>
          <w:iCs w:val="false"/>
          <w:color w:val="222222"/>
          <w:sz w:val="22"/>
          <w:szCs w:val="22"/>
        </w:rPr>
        <w:t xml:space="preserve">docs/propuesta_niveles_morfologia.md — diseño del modelo de análisis morfológico en tres niveles.</w:t>
      </w:r>
    </w:p>
    <w:p>
      <w:pPr>
        <w:pStyle w:val="ListParagraph"/>
        <w:numPr>
          <w:ilvl w:val="0"/>
          <w:numId w:val="2"/>
        </w:numPr>
        <w:spacing w:after="60" w:line="268"/>
      </w:pPr>
      <w:r>
        <w:rPr>
          <w:rFonts w:ascii="Calibri" w:cs="Calibri" w:eastAsia="Calibri" w:hAnsi="Calibri"/>
          <w:b w:val="false"/>
          <w:bCs w:val="false"/>
          <w:i w:val="false"/>
          <w:iCs w:val="false"/>
          <w:color w:val="222222"/>
          <w:sz w:val="22"/>
          <w:szCs w:val="22"/>
        </w:rPr>
        <w:t xml:space="preserve">docs/corpus_textos_n1_morfologia.md, docs/f8_corpus_n2n3_tokens.md — bancos de oraciones de elaboración propia.</w:t>
      </w:r>
    </w:p>
    <w:p>
      <w:pPr>
        <w:pStyle w:val="ListParagraph"/>
        <w:numPr>
          <w:ilvl w:val="0"/>
          <w:numId w:val="2"/>
        </w:numPr>
        <w:spacing w:after="60" w:line="268"/>
      </w:pPr>
      <w:r>
        <w:rPr>
          <w:rFonts w:ascii="Calibri" w:cs="Calibri" w:eastAsia="Calibri" w:hAnsi="Calibri"/>
          <w:b w:val="false"/>
          <w:bCs w:val="false"/>
          <w:i w:val="false"/>
          <w:iCs w:val="false"/>
          <w:color w:val="222222"/>
          <w:sz w:val="22"/>
          <w:szCs w:val="22"/>
        </w:rPr>
        <w:t xml:space="preserve">docs/f9_ponderacion_morfologia.md — criterios de evaluación y calificación ponderada.</w:t>
      </w:r>
    </w:p>
    <w:p>
      <w:pPr>
        <w:pStyle w:val="ListParagraph"/>
        <w:numPr>
          <w:ilvl w:val="0"/>
          <w:numId w:val="2"/>
        </w:numPr>
        <w:spacing w:after="60" w:line="268"/>
      </w:pPr>
      <w:r>
        <w:rPr>
          <w:rFonts w:ascii="Calibri" w:cs="Calibri" w:eastAsia="Calibri" w:hAnsi="Calibri"/>
          <w:b w:val="false"/>
          <w:bCs w:val="false"/>
          <w:i w:val="false"/>
          <w:iCs w:val="false"/>
          <w:color w:val="222222"/>
          <w:sz w:val="22"/>
          <w:szCs w:val="22"/>
        </w:rPr>
        <w:t xml:space="preserve">docs/TARJETAS_DIDACTICAS_CP.md — material de aula del módulo de compuestas.</w:t>
      </w:r>
    </w:p>
    <w:p>
      <w:pPr>
        <w:pStyle w:val="ListParagraph"/>
        <w:numPr>
          <w:ilvl w:val="0"/>
          <w:numId w:val="2"/>
        </w:numPr>
        <w:spacing w:after="60" w:line="268"/>
      </w:pPr>
      <w:r>
        <w:rPr>
          <w:rFonts w:ascii="Calibri" w:cs="Calibri" w:eastAsia="Calibri" w:hAnsi="Calibri"/>
          <w:b w:val="false"/>
          <w:bCs w:val="false"/>
          <w:i w:val="false"/>
          <w:iCs w:val="false"/>
          <w:color w:val="222222"/>
          <w:sz w:val="22"/>
          <w:szCs w:val="22"/>
        </w:rPr>
        <w:t xml:space="preserve">Manual_Profesor_Taller_Sintaxis.docx, GUIA_SESIONES_Y_COMPARTIR.md — manuales y guías de uso.</w:t>
      </w:r>
    </w:p>
    <w:p>
      <w:pPr>
        <w:spacing w:after="200"/>
      </w:pPr>
    </w:p>
    <w:p>
      <w:pPr>
        <w:pBdr>
          <w:top w:val="single" w:color="CCCCCC" w:sz="4"/>
        </w:pBdr>
        <w:spacing w:before="200"/>
      </w:pPr>
    </w:p>
    <w:p>
      <w:pPr>
        <w:jc w:val="center"/>
      </w:pPr>
      <w:r>
        <w:rPr>
          <w:rFonts w:ascii="Calibri" w:cs="Calibri" w:eastAsia="Calibri" w:hAnsi="Calibri"/>
          <w:i/>
          <w:iCs/>
          <w:color w:val="5B6570"/>
          <w:sz w:val="18"/>
          <w:szCs w:val="18"/>
        </w:rPr>
        <w:t xml:space="preserve">Memoria descriptiva · Taller de Sintaxis v6.2 · Ampliación de inscripción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0"/>
        <w:sz w:val="16"/>
        <w:szCs w:val="16"/>
      </w:rPr>
      <w:t xml:space="preserve">Página </w:t>
    </w:r>
    <w:r>
      <w:rPr>
        <w:rFonts w:ascii="Calibri" w:cs="Calibri" w:eastAsia="Calibri" w:hAnsi="Calibri"/>
        <w:color w:val="5B65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jc w:val="right"/>
    </w:pPr>
    <w:r>
      <w:rPr>
        <w:rFonts w:ascii="Calibri" w:cs="Calibri" w:eastAsia="Calibri" w:hAnsi="Calibri"/>
        <w:color w:val="5B6570"/>
        <w:sz w:val="16"/>
        <w:szCs w:val="16"/>
      </w:rPr>
      <w:t xml:space="preserve">Taller de Sintaxis — Memoria de ampliación de registro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descriptiva — Ampliación de inscripción — Taller de Sintaxis v6.2</dc:title>
  <dc:creator>Taller de Sintaxis</dc:creator>
  <dc:description>Memoria para la ampliación de la inscripción en el Registro de la Propiedad Intelectual</dc:description>
  <cp:lastModifiedBy>Un-named</cp:lastModifiedBy>
  <cp:revision>1</cp:revision>
  <dcterms:created xsi:type="dcterms:W3CDTF">2026-07-21T15:46:16.365Z</dcterms:created>
  <dcterms:modified xsi:type="dcterms:W3CDTF">2026-07-21T15:46:16.365Z</dcterms:modified>
</cp:coreProperties>
</file>

<file path=docProps/custom.xml><?xml version="1.0" encoding="utf-8"?>
<Properties xmlns="http://schemas.openxmlformats.org/officeDocument/2006/custom-properties" xmlns:vt="http://schemas.openxmlformats.org/officeDocument/2006/docPropsVTypes"/>
</file>