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10: narración, texto expositivo, exposición oral, debate y situaciones orales dialogadas,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Tarea de desempeño o proyecto</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(iDoceo)</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veintidós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pPr>
        <w:pStyle w:val="ListBullet"/>
        <w:spacing w:after="60"/>
      </w:pPr>
      <w:r>
        <w:rPr>
          <w:b/>
          <w:i w:val="0"/>
          <w:color w:val="1C1F26"/>
          <w:sz w:val="21"/>
          <w:rFonts w:ascii="Palatino Linotype" w:hAnsi="Palatino Linotype" w:cs="Palatino Linotype"/>
        </w:rPr>
        <w:t>Elegir el nivel de cada dimensión</w:t>
      </w:r>
      <w:r>
        <w:rPr>
          <w:b w:val="0"/>
          <w:i w:val="0"/>
          <w:color w:val="1C1F26"/>
          <w:sz w:val="21"/>
          <w:rFonts w:ascii="Palatino Linotype" w:hAnsi="Palatino Linotype" w:cs="Palatino Linotype"/>
        </w:rPr>
        <w:t xml:space="preserve"> leyendo su descriptor, o —en las dimensiones que traen matriz contable— marcar directamente la banda de cada componente: «3,0 puntos si emplea cuatro o más tipos de marcador; 2,0 si emplea dos o tres». Eso se cuenta, no se estima.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Las calificaciones se quedan en tu propio equipo, agrupadas por actividad: puedes corregir treinta exámenes en tres tardes sin perder nada,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Llevar el trabajo a iDoceo</w:t>
      </w:r>
    </w:p>
    <w:p>
      <w:r>
        <w:rPr>
          <w:b w:val="0"/>
          <w:i w:val="0"/>
          <w:color w:val="1C1F26"/>
          <w:sz w:val="21"/>
          <w:rFonts w:ascii="Palatino Linotype" w:hAnsi="Palatino Linotype" w:cs="Palatino Linotype"/>
        </w:rPr>
        <w:t xml:space="preserve">iDoceo tiene </w:t>
      </w:r>
      <w:r>
        <w:rPr>
          <w:b/>
          <w:i w:val="0"/>
          <w:color w:val="1C1F26"/>
          <w:sz w:val="21"/>
          <w:rFonts w:ascii="Palatino Linotype" w:hAnsi="Palatino Linotype" w:cs="Palatino Linotype"/>
        </w:rPr>
        <w:t>dos importadores distintos</w:t>
      </w:r>
      <w:r>
        <w:rPr>
          <w:b w:val="0"/>
          <w:i w:val="0"/>
          <w:color w:val="1C1F26"/>
          <w:sz w:val="21"/>
          <w:rFonts w:ascii="Palatino Linotype" w:hAnsi="Palatino Linotype" w:cs="Palatino Linotype"/>
        </w:rPr>
        <w:t xml:space="preserve">, y la app escribe para los dos. No son complementarios: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el formato que los dos importadores aceptan,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(iDoceo)</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La pantalla «Calificar» de esta app deja de usarse para ese instrumento.</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10 tipos de tarea, escritos curso a curso donde el currículo los sostiene: </w:t>
      </w:r>
      <w:r>
        <w:rPr>
          <w:b/>
          <w:i w:val="0"/>
          <w:color w:val="1C1F26"/>
          <w:sz w:val="21"/>
          <w:rFonts w:ascii="Palatino Linotype" w:hAnsi="Palatino Linotype" w:cs="Palatino Linotype"/>
        </w:rPr>
        <w:t>46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249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«Tarea de desempeño o proyecto».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marcas las bandas contables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(iDoceo)» y la importas allí.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