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40"/>
        <w:jc w:val="center"/>
      </w:pPr>
      <w:r>
        <w:rPr>
          <w:b/>
          <w:i w:val="0"/>
          <w:color w:val="4A4F5A"/>
          <w:sz w:val="24"/>
          <w:rFonts w:ascii="Palatino Linotype" w:hAnsi="Palatino Linotype" w:cs="Palatino Linotype"/>
        </w:rPr>
        <w:t>MEMORIA TÉCNICA Y DESCRIPTIVA DE LA OBRA</w:t>
      </w:r>
    </w:p>
    <w:p>
      <w:pPr>
        <w:spacing w:after="200"/>
      </w:pPr>
    </w:p>
    <w:tbl>
      <w:tblPr>
        <w:tblW w:type="auto" w:w="0"/>
        <w:jc w:val="center"/>
        <w:tblLook w:firstColumn="1" w:firstRow="1" w:lastColumn="0" w:lastRow="0" w:noHBand="0" w:noVBand="1" w:val="04A0"/>
      </w:tblPr>
      <w:tblGrid>
        <w:gridCol w:w="9412"/>
      </w:tblGrid>
      <w:tr>
        <w:tc>
          <w:tcPr>
            <w:tcW w:type="dxa" w:w="9412"/>
            <w:shd w:val="clear" w:fill="1C1F26"/>
          </w:tcPr>
          <w:p>
            <w:pPr>
              <w:spacing w:before="320" w:after="60"/>
              <w:jc w:val="center"/>
            </w:pPr>
            <w:r>
              <w:rPr>
                <w:b/>
                <w:i w:val="0"/>
                <w:color w:val="FFFFFF"/>
                <w:sz w:val="60"/>
                <w:rFonts w:ascii="Palatino Linotype" w:hAnsi="Palatino Linotype" w:cs="Palatino Linotype"/>
              </w:rPr>
              <w:t>Taller de Rúbricas</w:t>
            </w:r>
          </w:p>
          <w:p>
            <w:pPr>
              <w:spacing w:after="80"/>
              <w:jc w:val="center"/>
            </w:pPr>
            <w:r>
              <w:rPr>
                <w:b w:val="0"/>
                <w:i w:val="0"/>
                <w:color w:val="E0A793"/>
                <w:sz w:val="26"/>
                <w:rFonts w:ascii="Palatino Linotype" w:hAnsi="Palatino Linotype" w:cs="Palatino Linotype"/>
              </w:rPr>
              <w:t>Programa de ordenador · 31 de agosto de 2026</w:t>
            </w:r>
          </w:p>
          <w:p>
            <w:pPr>
              <w:spacing w:after="360"/>
              <w:jc w:val="center"/>
            </w:pPr>
            <w:r>
              <w:rPr>
                <w:b w:val="0"/>
                <w:i/>
                <w:color w:val="D8D3CA"/>
                <w:sz w:val="20"/>
                <w:rFonts w:ascii="Palatino Linotype" w:hAnsi="Palatino Linotype" w:cs="Palatino Linotype"/>
              </w:rPr>
              <w:t>Generador de instrumentos de evaluación derivados del currículo oficial LOMLOE, con validador de calidad de descriptores y hoja del alumno</w:t>
            </w:r>
          </w:p>
        </w:tc>
      </w:tr>
    </w:tbl>
    <w:p>
      <w:pPr>
        <w:spacing w:after="0"/>
      </w:pPr>
    </w:p>
    <w:p>
      <w:pPr>
        <w:spacing w:after="480"/>
      </w:pPr>
    </w:p>
    <w:p>
      <w:pPr>
        <w:spacing w:after="80"/>
        <w:jc w:val="center"/>
      </w:pPr>
      <w:r>
        <w:rPr>
          <w:b/>
          <w:i w:val="0"/>
          <w:color w:val="4A4F5A"/>
          <w:sz w:val="18"/>
          <w:rFonts w:ascii="Palatino Linotype" w:hAnsi="Palatino Linotype" w:cs="Palatino Linotype"/>
        </w:rPr>
        <w:t>AUTOR Y TITULAR</w:t>
      </w:r>
    </w:p>
    <w:p>
      <w:pPr>
        <w:spacing w:after="40"/>
        <w:jc w:val="center"/>
      </w:pPr>
      <w:r>
        <w:rPr>
          <w:b/>
          <w:i w:val="0"/>
          <w:color w:val="1C1F26"/>
          <w:sz w:val="26"/>
          <w:rFonts w:ascii="Palatino Linotype" w:hAnsi="Palatino Linotype" w:cs="Palatino Linotype"/>
        </w:rPr>
        <w:t>José Luis Asensio Valera</w:t>
      </w:r>
    </w:p>
    <w:p>
      <w:pPr>
        <w:spacing w:after="40"/>
        <w:jc w:val="center"/>
      </w:pPr>
      <w:r>
        <w:rPr>
          <w:b w:val="0"/>
          <w:i w:val="0"/>
          <w:color w:val="1C1F26"/>
          <w:sz w:val="21"/>
          <w:rFonts w:ascii="Palatino Linotype" w:hAnsi="Palatino Linotype" w:cs="Palatino Linotype"/>
        </w:rPr>
        <w:t>DNI 23265690-V</w:t>
      </w:r>
    </w:p>
    <w:p>
      <w:pPr>
        <w:spacing w:after="520"/>
        <w:jc w:val="center"/>
      </w:pPr>
      <w:r>
        <w:rPr>
          <w:b w:val="0"/>
          <w:i w:val="0"/>
          <w:color w:val="1C1F26"/>
          <w:sz w:val="21"/>
          <w:rFonts w:ascii="Palatino Linotype" w:hAnsi="Palatino Linotype" w:cs="Palatino Linotype"/>
        </w:rPr>
        <w:t>C/ Federico Chueca, 6 · 4.º D · 30880 Águilas (Murcia)</w:t>
      </w:r>
    </w:p>
    <w:p>
      <w:pPr>
        <w:spacing w:after="40"/>
        <w:jc w:val="center"/>
      </w:pPr>
      <w:r>
        <w:rPr>
          <w:b/>
          <w:i w:val="0"/>
          <w:color w:val="4A4F5A"/>
          <w:sz w:val="18"/>
          <w:rFonts w:ascii="Palatino Linotype" w:hAnsi="Palatino Linotype" w:cs="Palatino Linotype"/>
        </w:rPr>
        <w:t>DOCUMENTO AUXILIAR PARA LA SOLICITUD DE INSCRIPCIÓN</w:t>
      </w:r>
    </w:p>
    <w:p>
      <w:pPr>
        <w:spacing w:after="120"/>
        <w:jc w:val="center"/>
      </w:pPr>
      <w:r>
        <w:rPr>
          <w:b/>
          <w:i w:val="0"/>
          <w:color w:val="4A4F5A"/>
          <w:sz w:val="18"/>
          <w:rFonts w:ascii="Palatino Linotype" w:hAnsi="Palatino Linotype" w:cs="Palatino Linotype"/>
        </w:rPr>
        <w:t>EN EL REGISTRO DE LA PROPIEDAD INTELECTUAL</w:t>
      </w:r>
    </w:p>
    <w:p>
      <w:pPr>
        <w:spacing w:after="60"/>
        <w:jc w:val="center"/>
      </w:pPr>
      <w:r>
        <w:rPr>
          <w:b w:val="0"/>
          <w:i/>
          <w:color w:val="4A4F5A"/>
          <w:sz w:val="20"/>
          <w:rFonts w:ascii="Palatino Linotype" w:hAnsi="Palatino Linotype" w:cs="Palatino Linotype"/>
        </w:rPr>
        <w:t>Registro Territorial de la Propiedad Intelectual de la Región de Murcia</w:t>
      </w:r>
    </w:p>
    <w:p>
      <w:r>
        <w:br w:type="page"/>
      </w:r>
    </w:p>
    <w:p>
      <w:pPr>
        <w:keepNext/>
        <w:spacing w:before="440" w:after="120"/>
      </w:pPr>
      <w:r>
        <w:rPr>
          <w:b/>
          <w:i w:val="0"/>
          <w:color w:val="7A3B2E"/>
          <w:sz w:val="30"/>
          <w:rFonts w:ascii="Palatino Linotype" w:hAnsi="Palatino Linotype" w:cs="Palatino Linotype"/>
        </w:rPr>
        <w:t>NOTA PRELIMINAR</w:t>
      </w:r>
    </w:p>
    <w:p>
      <w:pPr>
        <w:jc w:val="both"/>
      </w:pPr>
      <w:r>
        <w:rPr>
          <w:b w:val="0"/>
          <w:i w:val="0"/>
          <w:color w:val="1C1F26"/>
          <w:sz w:val="21"/>
          <w:rFonts w:ascii="Palatino Linotype" w:hAnsi="Palatino Linotype" w:cs="Palatino Linotype"/>
        </w:rPr>
        <w:t xml:space="preserve">Este documento describe con fidelidad el estado real del programa a fecha de 31 de agosto de 2026. Todos los datos técnicos que contiene —número de criterios, de matrices, de reglas del validador, de líneas de código y de comprobaciones automáticas— </w:t>
      </w:r>
      <w:r>
        <w:rPr>
          <w:b/>
          <w:i w:val="0"/>
          <w:color w:val="1C1F26"/>
          <w:sz w:val="21"/>
          <w:rFonts w:ascii="Palatino Linotype" w:hAnsi="Palatino Linotype" w:cs="Palatino Linotype"/>
        </w:rPr>
        <w:t>no se han escrito a mano: se leen del propio código fuente y del contenido curricular</w:t>
      </w:r>
      <w:r>
        <w:rPr>
          <w:b w:val="0"/>
          <w:i w:val="0"/>
          <w:color w:val="1C1F26"/>
          <w:sz w:val="21"/>
          <w:rFonts w:ascii="Palatino Linotype" w:hAnsi="Palatino Linotype" w:cs="Palatino Linotype"/>
        </w:rPr>
        <w:t xml:space="preserve"> cada vez que se genera la memoria, de modo que ninguna cifra pueda separarse en silencio de la obra que describe.</w:t>
      </w:r>
    </w:p>
    <w:p>
      <w:pPr>
        <w:jc w:val="both"/>
      </w:pPr>
      <w:r>
        <w:rPr>
          <w:b w:val="0"/>
          <w:i w:val="0"/>
          <w:color w:val="1C1F26"/>
          <w:sz w:val="21"/>
          <w:rFonts w:ascii="Palatino Linotype" w:hAnsi="Palatino Linotype" w:cs="Palatino Linotype"/>
        </w:rPr>
        <w:t>Los únicos datos que no se han podido consignar son los que dependen del acto de presentación y de la documentación que obra en poder del solicitante. Aparecen resaltados en amarillo y deben rellenarse antes de presentar la solicitud:</w:t>
      </w:r>
    </w:p>
    <w:p>
      <w:pPr>
        <w:pStyle w:val="ListBullet"/>
        <w:spacing w:after="60"/>
        <w:jc w:val="both"/>
      </w:pPr>
      <w:r>
        <w:rPr>
          <w:b w:val="0"/>
          <w:i w:val="0"/>
          <w:color w:val="1C1F26"/>
          <w:sz w:val="21"/>
          <w:rFonts w:ascii="Palatino Linotype" w:hAnsi="Palatino Linotype" w:cs="Palatino Linotype"/>
        </w:rPr>
        <w:t xml:space="preserve">Fecha y lugar de la firma de la presente solicitud: </w:t>
      </w:r>
      <w:r>
        <w:rPr>
          <w:b/>
          <w:i w:val="0"/>
          <w:color w:val="7F1D1D"/>
          <w:sz w:val="21"/>
          <w:rFonts w:ascii="Palatino Linotype" w:hAnsi="Palatino Linotype" w:cs="Palatino Linotype"/>
          <w:highlight w:val="yellow"/>
        </w:rPr>
        <w:t xml:space="preserve">  ______________________  </w:t>
      </w:r>
    </w:p>
    <w:p>
      <w:pPr>
        <w:pStyle w:val="ListBullet"/>
        <w:spacing w:after="60"/>
        <w:jc w:val="both"/>
      </w:pPr>
      <w:r>
        <w:rPr>
          <w:b w:val="0"/>
          <w:i w:val="0"/>
          <w:color w:val="1C1F26"/>
          <w:sz w:val="21"/>
          <w:rFonts w:ascii="Palatino Linotype" w:hAnsi="Palatino Linotype" w:cs="Palatino Linotype"/>
        </w:rPr>
        <w:t xml:space="preserve">Número de depósito en el registro privado de obra digital, si se aporta: </w:t>
      </w:r>
      <w:r>
        <w:rPr>
          <w:b/>
          <w:i w:val="0"/>
          <w:color w:val="7F1D1D"/>
          <w:sz w:val="21"/>
          <w:rFonts w:ascii="Palatino Linotype" w:hAnsi="Palatino Linotype" w:cs="Palatino Linotype"/>
          <w:highlight w:val="yellow"/>
        </w:rPr>
        <w:t xml:space="preserve">  ______________________  </w:t>
      </w:r>
    </w:p>
    <w:p>
      <w:pPr>
        <w:jc w:val="both"/>
      </w:pPr>
      <w:r>
        <w:rPr>
          <w:b w:val="0"/>
          <w:i w:val="0"/>
          <w:color w:val="1C1F26"/>
          <w:sz w:val="21"/>
          <w:rFonts w:ascii="Palatino Linotype" w:hAnsi="Palatino Linotype" w:cs="Palatino Linotype"/>
        </w:rPr>
        <w:t>El resto del documento —autoría, descripción funcional, arquitectura, estructuras de datos, algoritmos, extensión del código y relación de ficheros— está completo y verificado contra el código fuente que se acompaña.</w:t>
      </w:r>
    </w:p>
    <w:p>
      <w:pPr>
        <w:keepNext/>
        <w:spacing w:before="440" w:after="120"/>
      </w:pPr>
      <w:r>
        <w:rPr>
          <w:b/>
          <w:i w:val="0"/>
          <w:color w:val="7A3B2E"/>
          <w:sz w:val="30"/>
          <w:rFonts w:ascii="Palatino Linotype" w:hAnsi="Palatino Linotype" w:cs="Palatino Linotype"/>
        </w:rPr>
        <w:t>FICHA DE LA OBRA</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4706"/>
        <w:gridCol w:w="4706"/>
      </w:tblGrid>
      <w:tr>
        <w:tc>
          <w:tcPr>
            <w:tcW w:type="dxa" w:w="2608"/>
          </w:tcPr>
          <w:p>
            <w:pPr>
              <w:spacing w:before="60" w:after="60"/>
            </w:pPr>
            <w:r>
              <w:rPr>
                <w:b w:val="0"/>
                <w:i w:val="0"/>
                <w:color w:val="1C1F26"/>
                <w:sz w:val="18"/>
                <w:rFonts w:ascii="Palatino Linotype" w:hAnsi="Palatino Linotype" w:cs="Palatino Linotype"/>
              </w:rPr>
              <w:t>Título de la obra</w:t>
            </w:r>
          </w:p>
        </w:tc>
        <w:tc>
          <w:tcPr>
            <w:tcW w:type="dxa" w:w="6803"/>
          </w:tcPr>
          <w:p>
            <w:pPr>
              <w:spacing w:before="60" w:after="60"/>
            </w:pPr>
            <w:r>
              <w:rPr>
                <w:b w:val="0"/>
                <w:i w:val="0"/>
                <w:color w:val="1C1F26"/>
                <w:sz w:val="18"/>
                <w:rFonts w:ascii="Palatino Linotype" w:hAnsi="Palatino Linotype" w:cs="Palatino Linotype"/>
              </w:rPr>
              <w:t>Taller de Rúbricas</w:t>
            </w:r>
          </w:p>
        </w:tc>
      </w:tr>
      <w:tr>
        <w:tc>
          <w:tcPr>
            <w:tcW w:type="dxa" w:w="2608"/>
          </w:tcPr>
          <w:p>
            <w:pPr>
              <w:spacing w:before="60" w:after="60"/>
            </w:pPr>
            <w:r>
              <w:rPr>
                <w:b w:val="0"/>
                <w:i w:val="0"/>
                <w:color w:val="1C1F26"/>
                <w:sz w:val="18"/>
                <w:rFonts w:ascii="Palatino Linotype" w:hAnsi="Palatino Linotype" w:cs="Palatino Linotype"/>
              </w:rPr>
              <w:t>Subtítulo</w:t>
            </w:r>
          </w:p>
        </w:tc>
        <w:tc>
          <w:tcPr>
            <w:tcW w:type="dxa" w:w="6803"/>
          </w:tcPr>
          <w:p>
            <w:pPr>
              <w:spacing w:before="60" w:after="60"/>
            </w:pPr>
            <w:r>
              <w:rPr>
                <w:b w:val="0"/>
                <w:i w:val="0"/>
                <w:color w:val="1C1F26"/>
                <w:sz w:val="18"/>
                <w:rFonts w:ascii="Palatino Linotype" w:hAnsi="Palatino Linotype" w:cs="Palatino Linotype"/>
              </w:rPr>
              <w:t>Generador de instrumentos de evaluación derivados del currículo oficial LOMLOE, con validador de calidad de descriptores y hoja del alumno</w:t>
            </w:r>
          </w:p>
        </w:tc>
      </w:tr>
      <w:tr>
        <w:tc>
          <w:tcPr>
            <w:tcW w:type="dxa" w:w="2608"/>
          </w:tcPr>
          <w:p>
            <w:pPr>
              <w:spacing w:before="60" w:after="60"/>
            </w:pPr>
            <w:r>
              <w:rPr>
                <w:b w:val="0"/>
                <w:i w:val="0"/>
                <w:color w:val="1C1F26"/>
                <w:sz w:val="18"/>
                <w:rFonts w:ascii="Palatino Linotype" w:hAnsi="Palatino Linotype" w:cs="Palatino Linotype"/>
              </w:rPr>
              <w:t>Autor y titular</w:t>
            </w:r>
          </w:p>
        </w:tc>
        <w:tc>
          <w:tcPr>
            <w:tcW w:type="dxa" w:w="6803"/>
          </w:tcPr>
          <w:p>
            <w:pPr>
              <w:spacing w:before="60" w:after="60"/>
            </w:pPr>
            <w:r>
              <w:rPr>
                <w:b w:val="0"/>
                <w:i w:val="0"/>
                <w:color w:val="1C1F26"/>
                <w:sz w:val="18"/>
                <w:rFonts w:ascii="Palatino Linotype" w:hAnsi="Palatino Linotype" w:cs="Palatino Linotype"/>
              </w:rPr>
              <w:t>José Luis Asensio Valera</w:t>
            </w:r>
          </w:p>
        </w:tc>
      </w:tr>
      <w:tr>
        <w:tc>
          <w:tcPr>
            <w:tcW w:type="dxa" w:w="2608"/>
          </w:tcPr>
          <w:p>
            <w:pPr>
              <w:spacing w:before="60" w:after="60"/>
            </w:pPr>
            <w:r>
              <w:rPr>
                <w:b w:val="0"/>
                <w:i w:val="0"/>
                <w:color w:val="1C1F26"/>
                <w:sz w:val="18"/>
                <w:rFonts w:ascii="Palatino Linotype" w:hAnsi="Palatino Linotype" w:cs="Palatino Linotype"/>
              </w:rPr>
              <w:t>DNI del autor</w:t>
            </w:r>
          </w:p>
        </w:tc>
        <w:tc>
          <w:tcPr>
            <w:tcW w:type="dxa" w:w="6803"/>
          </w:tcPr>
          <w:p>
            <w:pPr>
              <w:spacing w:before="60" w:after="60"/>
            </w:pPr>
            <w:r>
              <w:rPr>
                <w:b w:val="0"/>
                <w:i w:val="0"/>
                <w:color w:val="1C1F26"/>
                <w:sz w:val="18"/>
                <w:rFonts w:ascii="Palatino Linotype" w:hAnsi="Palatino Linotype" w:cs="Palatino Linotype"/>
              </w:rPr>
              <w:t>23265690-V</w:t>
            </w:r>
          </w:p>
        </w:tc>
      </w:tr>
      <w:tr>
        <w:tc>
          <w:tcPr>
            <w:tcW w:type="dxa" w:w="2608"/>
          </w:tcPr>
          <w:p>
            <w:pPr>
              <w:spacing w:before="60" w:after="60"/>
            </w:pPr>
            <w:r>
              <w:rPr>
                <w:b w:val="0"/>
                <w:i w:val="0"/>
                <w:color w:val="1C1F26"/>
                <w:sz w:val="18"/>
                <w:rFonts w:ascii="Palatino Linotype" w:hAnsi="Palatino Linotype" w:cs="Palatino Linotype"/>
              </w:rPr>
              <w:t>Domicilio del autor</w:t>
            </w:r>
          </w:p>
        </w:tc>
        <w:tc>
          <w:tcPr>
            <w:tcW w:type="dxa" w:w="6803"/>
          </w:tcPr>
          <w:p>
            <w:pPr>
              <w:spacing w:before="60" w:after="60"/>
            </w:pPr>
            <w:r>
              <w:rPr>
                <w:b w:val="0"/>
                <w:i w:val="0"/>
                <w:color w:val="1C1F26"/>
                <w:sz w:val="18"/>
                <w:rFonts w:ascii="Palatino Linotype" w:hAnsi="Palatino Linotype" w:cs="Palatino Linotype"/>
              </w:rPr>
              <w:t>C/ Federico Chueca, 6 · 4.º D · 30880 Águilas (Murcia)</w:t>
            </w:r>
          </w:p>
        </w:tc>
      </w:tr>
      <w:tr>
        <w:tc>
          <w:tcPr>
            <w:tcW w:type="dxa" w:w="2608"/>
          </w:tcPr>
          <w:p>
            <w:pPr>
              <w:spacing w:before="60" w:after="60"/>
            </w:pPr>
            <w:r>
              <w:rPr>
                <w:b w:val="0"/>
                <w:i w:val="0"/>
                <w:color w:val="1C1F26"/>
                <w:sz w:val="18"/>
                <w:rFonts w:ascii="Palatino Linotype" w:hAnsi="Palatino Linotype" w:cs="Palatino Linotype"/>
              </w:rPr>
              <w:t>Tipo de obra</w:t>
            </w:r>
          </w:p>
        </w:tc>
        <w:tc>
          <w:tcPr>
            <w:tcW w:type="dxa" w:w="6803"/>
          </w:tcPr>
          <w:p>
            <w:pPr>
              <w:spacing w:before="60" w:after="60"/>
            </w:pPr>
            <w:r>
              <w:rPr>
                <w:b w:val="0"/>
                <w:i w:val="0"/>
                <w:color w:val="1C1F26"/>
                <w:sz w:val="18"/>
                <w:rFonts w:ascii="Palatino Linotype" w:hAnsi="Palatino Linotype" w:cs="Palatino Linotype"/>
              </w:rPr>
              <w:t>Programa de ordenador (software) con base de datos original y metodología pedagógica propia</w:t>
            </w:r>
          </w:p>
        </w:tc>
      </w:tr>
      <w:tr>
        <w:tc>
          <w:tcPr>
            <w:tcW w:type="dxa" w:w="2608"/>
          </w:tcPr>
          <w:p>
            <w:pPr>
              <w:spacing w:before="60" w:after="60"/>
            </w:pPr>
            <w:r>
              <w:rPr>
                <w:b w:val="0"/>
                <w:i w:val="0"/>
                <w:color w:val="1C1F26"/>
                <w:sz w:val="18"/>
                <w:rFonts w:ascii="Palatino Linotype" w:hAnsi="Palatino Linotype" w:cs="Palatino Linotype"/>
              </w:rPr>
              <w:t>Ámbito de inscripción</w:t>
            </w:r>
          </w:p>
        </w:tc>
        <w:tc>
          <w:tcPr>
            <w:tcW w:type="dxa" w:w="6803"/>
          </w:tcPr>
          <w:p>
            <w:pPr>
              <w:spacing w:before="60" w:after="60"/>
            </w:pPr>
            <w:r>
              <w:rPr>
                <w:b w:val="0"/>
                <w:i w:val="0"/>
                <w:color w:val="1C1F26"/>
                <w:sz w:val="18"/>
                <w:rFonts w:ascii="Palatino Linotype" w:hAnsi="Palatino Linotype" w:cs="Palatino Linotype"/>
              </w:rPr>
              <w:t>Registro Territorial de la Propiedad Intelectual de la Región de Murcia</w:t>
            </w:r>
          </w:p>
        </w:tc>
      </w:tr>
      <w:tr>
        <w:tc>
          <w:tcPr>
            <w:tcW w:type="dxa" w:w="2608"/>
          </w:tcPr>
          <w:p>
            <w:pPr>
              <w:spacing w:before="60" w:after="60"/>
            </w:pPr>
            <w:r>
              <w:rPr>
                <w:b w:val="0"/>
                <w:i w:val="0"/>
                <w:color w:val="1C1F26"/>
                <w:sz w:val="18"/>
                <w:rFonts w:ascii="Palatino Linotype" w:hAnsi="Palatino Linotype" w:cs="Palatino Linotype"/>
              </w:rPr>
              <w:t>Fecha de primera creación</w:t>
            </w:r>
          </w:p>
        </w:tc>
        <w:tc>
          <w:tcPr>
            <w:tcW w:type="dxa" w:w="6803"/>
          </w:tcPr>
          <w:p>
            <w:pPr>
              <w:spacing w:before="60" w:after="60"/>
            </w:pPr>
            <w:r>
              <w:rPr>
                <w:b w:val="0"/>
                <w:i w:val="0"/>
                <w:color w:val="1C1F26"/>
                <w:sz w:val="18"/>
                <w:rFonts w:ascii="Palatino Linotype" w:hAnsi="Palatino Linotype" w:cs="Palatino Linotype"/>
              </w:rPr>
              <w:t>Julio de 2026</w:t>
            </w:r>
          </w:p>
        </w:tc>
      </w:tr>
      <w:tr>
        <w:tc>
          <w:tcPr>
            <w:tcW w:type="dxa" w:w="2608"/>
          </w:tcPr>
          <w:p>
            <w:pPr>
              <w:spacing w:before="60" w:after="60"/>
            </w:pPr>
            <w:r>
              <w:rPr>
                <w:b w:val="0"/>
                <w:i w:val="0"/>
                <w:color w:val="1C1F26"/>
                <w:sz w:val="18"/>
                <w:rFonts w:ascii="Palatino Linotype" w:hAnsi="Palatino Linotype" w:cs="Palatino Linotype"/>
              </w:rPr>
              <w:t>Versión objeto de esta solicitud</w:t>
            </w:r>
          </w:p>
        </w:tc>
        <w:tc>
          <w:tcPr>
            <w:tcW w:type="dxa" w:w="6803"/>
          </w:tcPr>
          <w:p>
            <w:pPr>
              <w:spacing w:before="60" w:after="60"/>
            </w:pPr>
            <w:r>
              <w:rPr>
                <w:b w:val="0"/>
                <w:i w:val="0"/>
                <w:color w:val="1C1F26"/>
                <w:sz w:val="18"/>
                <w:rFonts w:ascii="Palatino Linotype" w:hAnsi="Palatino Linotype" w:cs="Palatino Linotype"/>
              </w:rPr>
              <w:t>1.45</w:t>
            </w:r>
          </w:p>
        </w:tc>
      </w:tr>
      <w:tr>
        <w:tc>
          <w:tcPr>
            <w:tcW w:type="dxa" w:w="2608"/>
          </w:tcPr>
          <w:p>
            <w:pPr>
              <w:spacing w:before="60" w:after="60"/>
            </w:pPr>
            <w:r>
              <w:rPr>
                <w:b w:val="0"/>
                <w:i w:val="0"/>
                <w:color w:val="1C1F26"/>
                <w:sz w:val="18"/>
                <w:rFonts w:ascii="Palatino Linotype" w:hAnsi="Palatino Linotype" w:cs="Palatino Linotype"/>
              </w:rPr>
              <w:t>Fecha de esta versión</w:t>
            </w:r>
          </w:p>
        </w:tc>
        <w:tc>
          <w:tcPr>
            <w:tcW w:type="dxa" w:w="6803"/>
          </w:tcPr>
          <w:p>
            <w:pPr>
              <w:spacing w:before="60" w:after="60"/>
            </w:pPr>
            <w:r>
              <w:rPr>
                <w:b w:val="0"/>
                <w:i w:val="0"/>
                <w:color w:val="1C1F26"/>
                <w:sz w:val="18"/>
                <w:rFonts w:ascii="Palatino Linotype" w:hAnsi="Palatino Linotype" w:cs="Palatino Linotype"/>
              </w:rPr>
              <w:t>31 de agosto de 2026</w:t>
            </w:r>
          </w:p>
        </w:tc>
      </w:tr>
      <w:tr>
        <w:tc>
          <w:tcPr>
            <w:tcW w:type="dxa" w:w="2608"/>
          </w:tcPr>
          <w:p>
            <w:pPr>
              <w:spacing w:before="60" w:after="60"/>
            </w:pPr>
            <w:r>
              <w:rPr>
                <w:b w:val="0"/>
                <w:i w:val="0"/>
                <w:color w:val="1C1F26"/>
                <w:sz w:val="18"/>
                <w:rFonts w:ascii="Palatino Linotype" w:hAnsi="Palatino Linotype" w:cs="Palatino Linotype"/>
              </w:rPr>
              <w:t>Extensión</w:t>
            </w:r>
          </w:p>
        </w:tc>
        <w:tc>
          <w:tcPr>
            <w:tcW w:type="dxa" w:w="6803"/>
          </w:tcPr>
          <w:p>
            <w:pPr>
              <w:spacing w:before="60" w:after="60"/>
            </w:pPr>
            <w:r>
              <w:rPr>
                <w:b w:val="0"/>
                <w:i w:val="0"/>
                <w:color w:val="1C1F26"/>
                <w:sz w:val="18"/>
                <w:rFonts w:ascii="Palatino Linotype" w:hAnsi="Palatino Linotype" w:cs="Palatino Linotype"/>
              </w:rPr>
              <w:t>14.063 líneas de código fuente propio y 32.386 líneas de contenido curricular estructurado</w:t>
            </w:r>
          </w:p>
        </w:tc>
      </w:tr>
      <w:tr>
        <w:tc>
          <w:tcPr>
            <w:tcW w:type="dxa" w:w="2608"/>
          </w:tcPr>
          <w:p>
            <w:pPr>
              <w:spacing w:before="60" w:after="60"/>
            </w:pPr>
            <w:r>
              <w:rPr>
                <w:b w:val="0"/>
                <w:i w:val="0"/>
                <w:color w:val="1C1F26"/>
                <w:sz w:val="18"/>
                <w:rFonts w:ascii="Palatino Linotype" w:hAnsi="Palatino Linotype" w:cs="Palatino Linotype"/>
              </w:rPr>
              <w:t>Contenido curricular</w:t>
            </w:r>
          </w:p>
        </w:tc>
        <w:tc>
          <w:tcPr>
            <w:tcW w:type="dxa" w:w="6803"/>
          </w:tcPr>
          <w:p>
            <w:pPr>
              <w:spacing w:before="60" w:after="60"/>
            </w:pPr>
            <w:r>
              <w:rPr>
                <w:b w:val="0"/>
                <w:i w:val="0"/>
                <w:color w:val="1C1F26"/>
                <w:sz w:val="18"/>
                <w:rFonts w:ascii="Palatino Linotype" w:hAnsi="Palatino Linotype" w:cs="Palatino Linotype"/>
              </w:rPr>
              <w:t>249 criterios de evaluación derivados, 996 descriptores y 189 matrices cuantitativas, en diez tipos de tarea y seis cursos</w:t>
            </w:r>
          </w:p>
        </w:tc>
      </w:tr>
      <w:tr>
        <w:tc>
          <w:tcPr>
            <w:tcW w:type="dxa" w:w="2608"/>
          </w:tcPr>
          <w:p>
            <w:pPr>
              <w:spacing w:before="60" w:after="60"/>
            </w:pPr>
            <w:r>
              <w:rPr>
                <w:b w:val="0"/>
                <w:i w:val="0"/>
                <w:color w:val="1C1F26"/>
                <w:sz w:val="18"/>
                <w:rFonts w:ascii="Palatino Linotype" w:hAnsi="Palatino Linotype" w:cs="Palatino Linotype"/>
              </w:rPr>
              <w:t>Materia y ámbito curricular</w:t>
            </w:r>
          </w:p>
        </w:tc>
        <w:tc>
          <w:tcPr>
            <w:tcW w:type="dxa" w:w="6803"/>
          </w:tcPr>
          <w:p>
            <w:pPr>
              <w:spacing w:before="60" w:after="60"/>
            </w:pPr>
            <w:r>
              <w:rPr>
                <w:b w:val="0"/>
                <w:i w:val="0"/>
                <w:color w:val="1C1F26"/>
                <w:sz w:val="18"/>
                <w:rFonts w:ascii="Palatino Linotype" w:hAnsi="Palatino Linotype" w:cs="Palatino Linotype"/>
              </w:rPr>
              <w:t>Lengua Castellana y Literatura · LOMLOE · currículo oficial de la Región de Murcia</w:t>
            </w:r>
          </w:p>
        </w:tc>
      </w:tr>
      <w:tr>
        <w:tc>
          <w:tcPr>
            <w:tcW w:type="dxa" w:w="2608"/>
          </w:tcPr>
          <w:p>
            <w:pPr>
              <w:spacing w:before="60" w:after="60"/>
            </w:pPr>
            <w:r>
              <w:rPr>
                <w:b w:val="0"/>
                <w:i w:val="0"/>
                <w:color w:val="1C1F26"/>
                <w:sz w:val="18"/>
                <w:rFonts w:ascii="Palatino Linotype" w:hAnsi="Palatino Linotype" w:cs="Palatino Linotype"/>
              </w:rPr>
              <w:t>Ámbito de uso previsto</w:t>
            </w:r>
          </w:p>
        </w:tc>
        <w:tc>
          <w:tcPr>
            <w:tcW w:type="dxa" w:w="6803"/>
          </w:tcPr>
          <w:p>
            <w:pPr>
              <w:spacing w:before="60" w:after="60"/>
            </w:pPr>
            <w:r>
              <w:rPr>
                <w:b w:val="0"/>
                <w:i w:val="0"/>
                <w:color w:val="1C1F26"/>
                <w:sz w:val="18"/>
                <w:rFonts w:ascii="Palatino Linotype" w:hAnsi="Palatino Linotype" w:cs="Palatino Linotype"/>
              </w:rPr>
              <w:t>Educación Secundaria Obligatoria y Bachillerato (profesorado)</w:t>
            </w:r>
          </w:p>
        </w:tc>
      </w:tr>
      <w:tr>
        <w:tc>
          <w:tcPr>
            <w:tcW w:type="dxa" w:w="2608"/>
          </w:tcPr>
          <w:p>
            <w:pPr>
              <w:spacing w:before="60" w:after="60"/>
            </w:pPr>
            <w:r>
              <w:rPr>
                <w:b w:val="0"/>
                <w:i w:val="0"/>
                <w:color w:val="1C1F26"/>
                <w:sz w:val="18"/>
                <w:rFonts w:ascii="Palatino Linotype" w:hAnsi="Palatino Linotype" w:cs="Palatino Linotype"/>
              </w:rPr>
              <w:t>Lengua del sistema</w:t>
            </w:r>
          </w:p>
        </w:tc>
        <w:tc>
          <w:tcPr>
            <w:tcW w:type="dxa" w:w="6803"/>
          </w:tcPr>
          <w:p>
            <w:pPr>
              <w:spacing w:before="60" w:after="60"/>
            </w:pPr>
            <w:r>
              <w:rPr>
                <w:b w:val="0"/>
                <w:i w:val="0"/>
                <w:color w:val="1C1F26"/>
                <w:sz w:val="18"/>
                <w:rFonts w:ascii="Palatino Linotype" w:hAnsi="Palatino Linotype" w:cs="Palatino Linotype"/>
              </w:rPr>
              <w:t>Español</w:t>
            </w:r>
          </w:p>
        </w:tc>
      </w:tr>
      <w:tr>
        <w:tc>
          <w:tcPr>
            <w:tcW w:type="dxa" w:w="2608"/>
          </w:tcPr>
          <w:p>
            <w:pPr>
              <w:spacing w:before="60" w:after="60"/>
            </w:pPr>
            <w:r>
              <w:rPr>
                <w:b w:val="0"/>
                <w:i w:val="0"/>
                <w:color w:val="1C1F26"/>
                <w:sz w:val="18"/>
                <w:rFonts w:ascii="Palatino Linotype" w:hAnsi="Palatino Linotype" w:cs="Palatino Linotype"/>
              </w:rPr>
              <w:t>Publicación</w:t>
            </w:r>
          </w:p>
        </w:tc>
        <w:tc>
          <w:tcPr>
            <w:tcW w:type="dxa" w:w="6803"/>
          </w:tcPr>
          <w:p>
            <w:pPr>
              <w:spacing w:before="60" w:after="60"/>
            </w:pPr>
            <w:r>
              <w:rPr>
                <w:b w:val="0"/>
                <w:i w:val="0"/>
                <w:color w:val="1C1F26"/>
                <w:sz w:val="18"/>
                <w:rFonts w:ascii="Palatino Linotype" w:hAnsi="Palatino Linotype" w:cs="Palatino Linotype"/>
              </w:rPr>
              <w:t>Sitio estático accesible en https://josele-duplex.github.io/rubricas/</w:t>
            </w:r>
          </w:p>
        </w:tc>
      </w:tr>
      <w:tr>
        <w:tc>
          <w:tcPr>
            <w:tcW w:type="dxa" w:w="2608"/>
          </w:tcPr>
          <w:p>
            <w:pPr>
              <w:spacing w:before="60" w:after="60"/>
            </w:pPr>
            <w:r>
              <w:rPr>
                <w:b w:val="0"/>
                <w:i w:val="0"/>
                <w:color w:val="1C1F26"/>
                <w:sz w:val="18"/>
                <w:rFonts w:ascii="Palatino Linotype" w:hAnsi="Palatino Linotype" w:cs="Palatino Linotype"/>
              </w:rPr>
              <w:t>Estado</w:t>
            </w:r>
          </w:p>
        </w:tc>
        <w:tc>
          <w:tcPr>
            <w:tcW w:type="dxa" w:w="6803"/>
          </w:tcPr>
          <w:p>
            <w:pPr>
              <w:spacing w:before="60" w:after="60"/>
            </w:pPr>
            <w:r>
              <w:rPr>
                <w:b w:val="0"/>
                <w:i w:val="0"/>
                <w:color w:val="1C1F26"/>
                <w:sz w:val="18"/>
                <w:rFonts w:ascii="Palatino Linotype" w:hAnsi="Palatino Linotype" w:cs="Palatino Linotype"/>
              </w:rPr>
              <w:t>En explotación real en el aula. Funciona sin servidor, sin cuentas y sin conexión; no trata datos personales ni realiza llamada alguna a servicios de inteligencia artificial</w:t>
            </w:r>
          </w:p>
        </w:tc>
      </w:tr>
    </w:tbl>
    <w:p>
      <w:pPr>
        <w:spacing w:after="0"/>
      </w:pPr>
    </w:p>
    <w:p>
      <w:pPr>
        <w:keepNext/>
        <w:spacing w:before="440" w:after="120"/>
      </w:pPr>
      <w:r>
        <w:rPr>
          <w:b/>
          <w:i w:val="0"/>
          <w:color w:val="7A3B2E"/>
          <w:sz w:val="30"/>
          <w:rFonts w:ascii="Palatino Linotype" w:hAnsi="Palatino Linotype" w:cs="Palatino Linotype"/>
        </w:rPr>
        <w:t>DECLARACIÓN DE AUTORÍA</w:t>
      </w:r>
    </w:p>
    <w:p>
      <w:pPr>
        <w:jc w:val="both"/>
      </w:pPr>
      <w:r>
        <w:rPr>
          <w:b w:val="0"/>
          <w:i w:val="0"/>
          <w:color w:val="1C1F26"/>
          <w:sz w:val="21"/>
          <w:rFonts w:ascii="Palatino Linotype" w:hAnsi="Palatino Linotype" w:cs="Palatino Linotype"/>
        </w:rPr>
        <w:t>Don José Luis Asensio Valera, con DNI 23265690-V, declara bajo su responsabilidad que es el único autor y titular exclusivo de todos los derechos de propiedad intelectual sobre la obra descrita en el presente documento, y sobre la totalidad del código, las estructuras de datos y los contenidos didácticos que la integran. La obra ha sido desarrollada de forma íntegramente independiente, con medios propios del autor, fuera de su jornada laboral y sin uso de recursos materiales de su centro de trabajo, sin cesión de derechos a terceros y sin relación laboral o contractual que atribuya la titularidad a otra persona física o jurídica.</w:t>
      </w:r>
    </w:p>
    <w:p>
      <w:pPr>
        <w:jc w:val="both"/>
      </w:pPr>
      <w:r>
        <w:rPr>
          <w:b w:val="0"/>
          <w:i w:val="0"/>
          <w:color w:val="1C1F26"/>
          <w:sz w:val="21"/>
          <w:rFonts w:ascii="Palatino Linotype" w:hAnsi="Palatino Linotype" w:cs="Palatino Linotype"/>
        </w:rPr>
        <w:t>Esta declaración se formula a los efectos oportunos ante el Registro Territorial de la Propiedad Intelectual de la Región de Murcia, en cumplimiento del artículo 5 y concordantes del Real Decreto Legislativo 1/1996, de 12 de abril, por el que se aprueba el Texto Refundido de la Ley de Propiedad Intelectual, y al amparo del artículo 10.1.i) del mismo texto, que reconoce los programas de ordenador como obras protegidas.</w:t>
      </w:r>
    </w:p>
    <w:p>
      <w:r>
        <w:br w:type="page"/>
      </w:r>
    </w:p>
    <w:p>
      <w:pPr>
        <w:keepNext/>
        <w:spacing w:before="440" w:after="120"/>
      </w:pPr>
      <w:r>
        <w:rPr>
          <w:b/>
          <w:i w:val="0"/>
          <w:color w:val="7A3B2E"/>
          <w:sz w:val="30"/>
          <w:rFonts w:ascii="Palatino Linotype" w:hAnsi="Palatino Linotype" w:cs="Palatino Linotype"/>
        </w:rPr>
        <w:t>1. OBJETO Y DESCRIPCIÓN DE LA OBRA</w:t>
      </w:r>
    </w:p>
    <w:p>
      <w:pPr>
        <w:keepNext/>
        <w:spacing w:before="260" w:after="60"/>
      </w:pPr>
      <w:r>
        <w:rPr>
          <w:b/>
          <w:i w:val="0"/>
          <w:color w:val="1C1F26"/>
          <w:sz w:val="23"/>
          <w:rFonts w:ascii="Palatino Linotype" w:hAnsi="Palatino Linotype" w:cs="Palatino Linotype"/>
        </w:rPr>
        <w:t>1.1 Qué es</w:t>
      </w:r>
    </w:p>
    <w:p>
      <w:pPr>
        <w:jc w:val="both"/>
      </w:pPr>
      <w:r>
        <w:rPr>
          <w:b/>
          <w:i w:val="0"/>
          <w:color w:val="1C1F26"/>
          <w:sz w:val="21"/>
          <w:rFonts w:ascii="Palatino Linotype" w:hAnsi="Palatino Linotype" w:cs="Palatino Linotype"/>
        </w:rPr>
        <w:t>Taller de Rúbricas</w:t>
      </w:r>
      <w:r>
        <w:rPr>
          <w:b w:val="0"/>
          <w:i w:val="0"/>
          <w:color w:val="1C1F26"/>
          <w:sz w:val="21"/>
          <w:rFonts w:ascii="Palatino Linotype" w:hAnsi="Palatino Linotype" w:cs="Palatino Linotype"/>
        </w:rPr>
        <w:t xml:space="preserve"> es una aplicación web para que el profesorado de Lengua Castellana y Literatura de Educación Secundaria Obligatoria y de Bachillerato </w:t>
      </w:r>
      <w:r>
        <w:rPr>
          <w:b/>
          <w:i w:val="0"/>
          <w:color w:val="1C1F26"/>
          <w:sz w:val="21"/>
          <w:rFonts w:ascii="Palatino Linotype" w:hAnsi="Palatino Linotype" w:cs="Palatino Linotype"/>
        </w:rPr>
        <w:t>construya instrumentos de evaluación derivados del currículo oficial vigente en la Región de Murcia</w:t>
      </w:r>
      <w:r>
        <w:rPr>
          <w:b w:val="0"/>
          <w:i w:val="0"/>
          <w:color w:val="1C1F26"/>
          <w:sz w:val="21"/>
          <w:rFonts w:ascii="Palatino Linotype" w:hAnsi="Palatino Linotype" w:cs="Palatino Linotype"/>
        </w:rPr>
        <w:t>. No es un repositorio de rúbricas hechas ni un editor de tablas: el profesor declara qué tarea va a evaluar, en qué curso y de cuánto tiempo de corrección dispone, y la aplicación ensambla los instrumentos a partir de una biblioteca de criterios de evaluación trazados uno a uno al decreto autonómico.</w:t>
      </w:r>
    </w:p>
    <w:p>
      <w:pPr>
        <w:jc w:val="both"/>
      </w:pPr>
      <w:r>
        <w:rPr>
          <w:b w:val="0"/>
          <w:i w:val="0"/>
          <w:color w:val="1C1F26"/>
          <w:sz w:val="21"/>
          <w:rFonts w:ascii="Palatino Linotype" w:hAnsi="Palatino Linotype" w:cs="Palatino Linotype"/>
        </w:rPr>
        <w:t xml:space="preserve">La obra comprende tres cosas inseparables, y las tres se someten a inscripción: el </w:t>
      </w:r>
      <w:r>
        <w:rPr>
          <w:b/>
          <w:i w:val="0"/>
          <w:color w:val="1C1F26"/>
          <w:sz w:val="21"/>
          <w:rFonts w:ascii="Palatino Linotype" w:hAnsi="Palatino Linotype" w:cs="Palatino Linotype"/>
        </w:rPr>
        <w:t>programa</w:t>
      </w:r>
      <w:r>
        <w:rPr>
          <w:b w:val="0"/>
          <w:i w:val="0"/>
          <w:color w:val="1C1F26"/>
          <w:sz w:val="21"/>
          <w:rFonts w:ascii="Palatino Linotype" w:hAnsi="Palatino Linotype" w:cs="Palatino Linotype"/>
        </w:rPr>
        <w:t xml:space="preserve"> que hace ese ensamblaje, la </w:t>
      </w:r>
      <w:r>
        <w:rPr>
          <w:b/>
          <w:i w:val="0"/>
          <w:color w:val="1C1F26"/>
          <w:sz w:val="21"/>
          <w:rFonts w:ascii="Palatino Linotype" w:hAnsi="Palatino Linotype" w:cs="Palatino Linotype"/>
        </w:rPr>
        <w:t>base de datos curricular original</w:t>
      </w:r>
      <w:r>
        <w:rPr>
          <w:b w:val="0"/>
          <w:i w:val="0"/>
          <w:color w:val="1C1F26"/>
          <w:sz w:val="21"/>
          <w:rFonts w:ascii="Palatino Linotype" w:hAnsi="Palatino Linotype" w:cs="Palatino Linotype"/>
        </w:rPr>
        <w:t xml:space="preserve"> de la que lo hace, y el </w:t>
      </w:r>
      <w:r>
        <w:rPr>
          <w:b/>
          <w:i w:val="0"/>
          <w:color w:val="1C1F26"/>
          <w:sz w:val="21"/>
          <w:rFonts w:ascii="Palatino Linotype" w:hAnsi="Palatino Linotype" w:cs="Palatino Linotype"/>
        </w:rPr>
        <w:t>cuerpo de contenidos didácticos</w:t>
      </w:r>
      <w:r>
        <w:rPr>
          <w:b w:val="0"/>
          <w:i w:val="0"/>
          <w:color w:val="1C1F26"/>
          <w:sz w:val="21"/>
          <w:rFonts w:ascii="Palatino Linotype" w:hAnsi="Palatino Linotype" w:cs="Palatino Linotype"/>
        </w:rPr>
        <w:t xml:space="preserve"> —descriptores, matrices de corrección, microexplicaciones y reglas de calidad— que constituye su valor real.</w:t>
      </w:r>
    </w:p>
    <w:p>
      <w:pPr>
        <w:keepNext/>
        <w:spacing w:before="260" w:after="60"/>
      </w:pPr>
      <w:r>
        <w:rPr>
          <w:b/>
          <w:i w:val="0"/>
          <w:color w:val="1C1F26"/>
          <w:sz w:val="23"/>
          <w:rFonts w:ascii="Palatino Linotype" w:hAnsi="Palatino Linotype" w:cs="Palatino Linotype"/>
        </w:rPr>
        <w:t>1.2 Qué la distingue</w:t>
      </w:r>
    </w:p>
    <w:p>
      <w:pPr>
        <w:pStyle w:val="ListBullet"/>
        <w:spacing w:after="60"/>
        <w:jc w:val="both"/>
      </w:pPr>
      <w:r>
        <w:rPr>
          <w:b/>
          <w:i w:val="0"/>
          <w:color w:val="1C1F26"/>
          <w:sz w:val="21"/>
          <w:rFonts w:ascii="Palatino Linotype" w:hAnsi="Palatino Linotype" w:cs="Palatino Linotype"/>
        </w:rPr>
        <w:t>Deriva, no inventa.</w:t>
      </w:r>
      <w:r>
        <w:rPr>
          <w:b w:val="0"/>
          <w:i w:val="0"/>
          <w:color w:val="1C1F26"/>
          <w:sz w:val="21"/>
          <w:rFonts w:ascii="Palatino Linotype" w:hAnsi="Palatino Linotype" w:cs="Palatino Linotype"/>
        </w:rPr>
        <w:t xml:space="preserve"> Cada dimensión de cada rúbrica lleva detrás un criterio de evaluación oficial citado textualmente, con su competencia específica, su código y su perfil de salida. Sin esa trazabilidad, una fila de rúbrica no es un instrumento: es una opinión del profesor con formato de tabla. El programa </w:t>
      </w:r>
      <w:r>
        <w:rPr>
          <w:b/>
          <w:i w:val="0"/>
          <w:color w:val="1C1F26"/>
          <w:sz w:val="21"/>
          <w:rFonts w:ascii="Palatino Linotype" w:hAnsi="Palatino Linotype" w:cs="Palatino Linotype"/>
        </w:rPr>
        <w:t>rechaza la carga</w:t>
      </w:r>
      <w:r>
        <w:rPr>
          <w:b w:val="0"/>
          <w:i w:val="0"/>
          <w:color w:val="1C1F26"/>
          <w:sz w:val="21"/>
          <w:rFonts w:ascii="Palatino Linotype" w:hAnsi="Palatino Linotype" w:cs="Palatino Linotype"/>
        </w:rPr>
        <w:t xml:space="preserve"> de todo criterio sin referencia normativa.</w:t>
      </w:r>
    </w:p>
    <w:p>
      <w:pPr>
        <w:pStyle w:val="ListBullet"/>
        <w:spacing w:after="60"/>
        <w:jc w:val="both"/>
      </w:pPr>
      <w:r>
        <w:rPr>
          <w:b/>
          <w:i w:val="0"/>
          <w:color w:val="1C1F26"/>
          <w:sz w:val="21"/>
          <w:rFonts w:ascii="Palatino Linotype" w:hAnsi="Palatino Linotype" w:cs="Palatino Linotype"/>
        </w:rPr>
        <w:t>Enseña mientras se usa.</w:t>
      </w:r>
      <w:r>
        <w:rPr>
          <w:b w:val="0"/>
          <w:i w:val="0"/>
          <w:color w:val="1C1F26"/>
          <w:sz w:val="21"/>
          <w:rFonts w:ascii="Palatino Linotype" w:hAnsi="Palatino Linotype" w:cs="Palatino Linotype"/>
        </w:rPr>
        <w:t xml:space="preserve"> El objetivo del proyecto no es que existan más rúbricas, sino que profesores y alumnos sepan usarlas. La aplicación incorpora un validador de calidad de descriptores con 23 reglas y veinticinco microexplicaciones desplegables situadas en el punto exacto en que el profesor toma cada decisión. El validador no se limita a marcar el fallo: explica la regla que lo sostiene.</w:t>
      </w:r>
    </w:p>
    <w:p>
      <w:pPr>
        <w:pStyle w:val="ListBullet"/>
        <w:spacing w:after="60"/>
        <w:jc w:val="both"/>
      </w:pPr>
      <w:r>
        <w:rPr>
          <w:b/>
          <w:i w:val="0"/>
          <w:color w:val="1C1F26"/>
          <w:sz w:val="21"/>
          <w:rFonts w:ascii="Palatino Linotype" w:hAnsi="Palatino Linotype" w:cs="Palatino Linotype"/>
        </w:rPr>
        <w:t>La transparencia es una salida, no una recomendación.</w:t>
      </w:r>
      <w:r>
        <w:rPr>
          <w:b w:val="0"/>
          <w:i w:val="0"/>
          <w:color w:val="1C1F26"/>
          <w:sz w:val="21"/>
          <w:rFonts w:ascii="Palatino Linotype" w:hAnsi="Palatino Linotype" w:cs="Palatino Linotype"/>
        </w:rPr>
        <w:t xml:space="preserve"> Toda rúbrica genera automáticamente la hoja del alumno, que </w:t>
      </w:r>
      <w:r>
        <w:rPr>
          <w:b/>
          <w:i w:val="0"/>
          <w:color w:val="1C1F26"/>
          <w:sz w:val="21"/>
          <w:rFonts w:ascii="Palatino Linotype" w:hAnsi="Palatino Linotype" w:cs="Palatino Linotype"/>
        </w:rPr>
        <w:t>no se puede desmarcar</w:t>
      </w:r>
      <w:r>
        <w:rPr>
          <w:b w:val="0"/>
          <w:i w:val="0"/>
          <w:color w:val="1C1F26"/>
          <w:sz w:val="21"/>
          <w:rFonts w:ascii="Palatino Linotype" w:hAnsi="Palatino Linotype" w:cs="Palatino Linotype"/>
        </w:rPr>
        <w:t>. La entrega de la rúbrica antes de la prueba deja de depender de que el profesor se acuerde.</w:t>
      </w:r>
    </w:p>
    <w:p>
      <w:pPr>
        <w:pStyle w:val="ListBullet"/>
        <w:spacing w:after="60"/>
        <w:jc w:val="both"/>
      </w:pPr>
      <w:r>
        <w:rPr>
          <w:b/>
          <w:i w:val="0"/>
          <w:color w:val="1C1F26"/>
          <w:sz w:val="21"/>
          <w:rFonts w:ascii="Palatino Linotype" w:hAnsi="Palatino Linotype" w:cs="Palatino Linotype"/>
        </w:rPr>
        <w:t>Sin servidor, sin cuentas, sin datos personales y sin IA.</w:t>
      </w:r>
      <w:r>
        <w:rPr>
          <w:b w:val="0"/>
          <w:i w:val="0"/>
          <w:color w:val="1C1F26"/>
          <w:sz w:val="21"/>
          <w:rFonts w:ascii="Palatino Linotype" w:hAnsi="Palatino Linotype" w:cs="Palatino Linotype"/>
        </w:rPr>
        <w:t xml:space="preserve"> El motor se ejecuta íntegramente en el navegador del docente. La aplicación no envía nada a ninguna parte, no pide claves y no ejecuta prompts: genera el texto del modo asistido para que el docente lo use fuera, bajo su responsabilidad y con un protocolo de uso impreso al lado.</w:t>
      </w:r>
    </w:p>
    <w:p>
      <w:pPr>
        <w:keepNext/>
        <w:spacing w:before="260" w:after="60"/>
      </w:pPr>
      <w:r>
        <w:rPr>
          <w:b/>
          <w:i w:val="0"/>
          <w:color w:val="1C1F26"/>
          <w:sz w:val="23"/>
          <w:rFonts w:ascii="Palatino Linotype" w:hAnsi="Palatino Linotype" w:cs="Palatino Linotype"/>
        </w:rPr>
        <w:t>1.3 Alineación normativa y curricular</w:t>
      </w:r>
    </w:p>
    <w:p>
      <w:pPr>
        <w:pStyle w:val="ListBullet"/>
        <w:spacing w:after="60"/>
        <w:jc w:val="both"/>
      </w:pPr>
      <w:r>
        <w:rPr>
          <w:b/>
          <w:i w:val="0"/>
          <w:color w:val="1C1F26"/>
          <w:sz w:val="21"/>
          <w:rFonts w:ascii="Palatino Linotype" w:hAnsi="Palatino Linotype" w:cs="Palatino Linotype"/>
        </w:rPr>
        <w:t>LOMLOE y currículo autonómico.</w:t>
      </w:r>
      <w:r>
        <w:rPr>
          <w:b w:val="0"/>
          <w:i w:val="0"/>
          <w:color w:val="1C1F26"/>
          <w:sz w:val="21"/>
          <w:rFonts w:ascii="Palatino Linotype" w:hAnsi="Palatino Linotype" w:cs="Palatino Linotype"/>
        </w:rPr>
        <w:t xml:space="preserve"> Los criterios proceden del currículo oficial de Lengua Castellana y Literatura de la Región de Murcia —Decreto n.º 235/2022, de 7 de diciembre, para ESO, con la modificación del Decreto n.º 158/2024, y Decreto n.º 251/2022, de 22 de diciembre, para Bachillerato—, cuyo texto se conserva en el repositorio como fuente de contraste.</w:t>
      </w:r>
    </w:p>
    <w:p>
      <w:pPr>
        <w:pStyle w:val="ListBullet"/>
        <w:spacing w:after="60"/>
        <w:jc w:val="both"/>
      </w:pPr>
      <w:r>
        <w:rPr>
          <w:b/>
          <w:i w:val="0"/>
          <w:color w:val="1C1F26"/>
          <w:sz w:val="21"/>
          <w:rFonts w:ascii="Palatino Linotype" w:hAnsi="Palatino Linotype" w:cs="Palatino Linotype"/>
        </w:rPr>
        <w:t>Los criterios son por curso, nunca por ciclo.</w:t>
      </w:r>
      <w:r>
        <w:rPr>
          <w:b w:val="0"/>
          <w:i w:val="0"/>
          <w:color w:val="1C1F26"/>
          <w:sz w:val="21"/>
          <w:rFonts w:ascii="Palatino Linotype" w:hAnsi="Palatino Linotype" w:cs="Palatino Linotype"/>
        </w:rPr>
        <w:t xml:space="preserve"> El decreto los redacta curso a curso y la obra respeta esa granularidad: un criterio de 1.º de ESO y su homólogo de 3.º son dos registros distintos, con cita distinta y descriptores distintos.</w:t>
      </w:r>
    </w:p>
    <w:p>
      <w:pPr>
        <w:pStyle w:val="ListBullet"/>
        <w:spacing w:after="60"/>
        <w:jc w:val="both"/>
      </w:pPr>
      <w:r>
        <w:rPr>
          <w:b/>
          <w:i w:val="0"/>
          <w:color w:val="1C1F26"/>
          <w:sz w:val="21"/>
          <w:rFonts w:ascii="Palatino Linotype" w:hAnsi="Palatino Linotype" w:cs="Palatino Linotype"/>
        </w:rPr>
        <w:t>La progresión entre cursos no se diseña: se lee.</w:t>
      </w:r>
      <w:r>
        <w:rPr>
          <w:b w:val="0"/>
          <w:i w:val="0"/>
          <w:color w:val="1C1F26"/>
          <w:sz w:val="21"/>
          <w:rFonts w:ascii="Palatino Linotype" w:hAnsi="Palatino Linotype" w:cs="Palatino Linotype"/>
        </w:rPr>
        <w:t xml:space="preserve"> Está escrita en la redacción del propio criterio oficial (*sencillos* y *de manera guiada* en los primeros cursos frente a *de cierta extensión* y *progresivamente autónoma* en los superiores). El verbo lo pone el criterio; lo que escala es la condición que lo acompaña.</w:t>
      </w:r>
    </w:p>
    <w:p>
      <w:pPr>
        <w:pStyle w:val="ListBullet"/>
        <w:spacing w:after="60"/>
        <w:jc w:val="both"/>
      </w:pPr>
      <w:r>
        <w:rPr>
          <w:b/>
          <w:i w:val="0"/>
          <w:color w:val="1C1F26"/>
          <w:sz w:val="21"/>
          <w:rFonts w:ascii="Palatino Linotype" w:hAnsi="Palatino Linotype" w:cs="Palatino Linotype"/>
        </w:rPr>
        <w:t>La prueba de acceso a la universidad es horizonte, no fuente.</w:t>
      </w:r>
      <w:r>
        <w:rPr>
          <w:b w:val="0"/>
          <w:i w:val="0"/>
          <w:color w:val="1C1F26"/>
          <w:sz w:val="21"/>
          <w:rFonts w:ascii="Palatino Linotype" w:hAnsi="Palatino Linotype" w:cs="Palatino Linotype"/>
        </w:rPr>
        <w:t xml:space="preserve"> La obra no cita las directrices de corrección de la EBAU en ningún instrumento de aula: la calificación de un curso oficial se rige por los criterios de evaluación del currículo, no por los de una prueba externa. Es una decisión de diseño documentada, no un hueco pendiente.</w:t>
      </w:r>
    </w:p>
    <w:p>
      <w:pPr>
        <w:keepNext/>
        <w:spacing w:before="260" w:after="60"/>
      </w:pPr>
      <w:r>
        <w:rPr>
          <w:b/>
          <w:i w:val="0"/>
          <w:color w:val="1C1F26"/>
          <w:sz w:val="23"/>
          <w:rFonts w:ascii="Palatino Linotype" w:hAnsi="Palatino Linotype" w:cs="Palatino Linotype"/>
        </w:rPr>
        <w:t>1.4 Lugar en el conjunto de obras del autor</w:t>
      </w:r>
    </w:p>
    <w:p>
      <w:pPr>
        <w:jc w:val="both"/>
      </w:pPr>
      <w:r>
        <w:rPr>
          <w:b w:val="0"/>
          <w:i w:val="0"/>
          <w:color w:val="1C1F26"/>
          <w:sz w:val="21"/>
          <w:rFonts w:ascii="Palatino Linotype" w:hAnsi="Palatino Linotype" w:cs="Palatino Linotype"/>
        </w:rPr>
        <w:t xml:space="preserve">La obra forma parte de un conjunto de tres proyectos independientes del mismo autor que comparten terminología y filosofía evaluativa, con un reparto explícito de qué proyecto es dueño de qué hecho. </w:t>
      </w:r>
      <w:r>
        <w:rPr>
          <w:b/>
          <w:i w:val="0"/>
          <w:color w:val="1C1F26"/>
          <w:sz w:val="21"/>
          <w:rFonts w:ascii="Palatino Linotype" w:hAnsi="Palatino Linotype" w:cs="Palatino Linotype"/>
        </w:rPr>
        <w:t>Esta obra es dueña de la derivación normativa</w:t>
      </w:r>
      <w:r>
        <w:rPr>
          <w:b w:val="0"/>
          <w:i w:val="0"/>
          <w:color w:val="1C1F26"/>
          <w:sz w:val="21"/>
          <w:rFonts w:ascii="Palatino Linotype" w:hAnsi="Palatino Linotype" w:cs="Palatino Linotype"/>
        </w:rPr>
        <w:t xml:space="preserve">: la cita literal del criterio, la numeración por curso, el validador de packs y el modelo de cálculo de un instrumento. La arquitectura de rúbrica —cuatro niveles, nombres canónicos, bandas sobre diez y principio anti-adverbitis— procede del marco teórico de otro proyecto del autor, al que esta obra </w:t>
      </w:r>
      <w:r>
        <w:rPr>
          <w:b/>
          <w:i w:val="0"/>
          <w:color w:val="1C1F26"/>
          <w:sz w:val="21"/>
          <w:rFonts w:ascii="Palatino Linotype" w:hAnsi="Palatino Linotype" w:cs="Palatino Linotype"/>
        </w:rPr>
        <w:t>referencia sin copiar</w:t>
      </w:r>
      <w:r>
        <w:rPr>
          <w:b w:val="0"/>
          <w:i w:val="0"/>
          <w:color w:val="1C1F26"/>
          <w:sz w:val="21"/>
          <w:rFonts w:ascii="Palatino Linotype" w:hAnsi="Palatino Linotype" w:cs="Palatino Linotype"/>
        </w:rPr>
        <w:t>. Ese reparto se comprueba mecánicamente y se documenta en el repositorio.</w:t>
      </w:r>
    </w:p>
    <w:p>
      <w:r>
        <w:br w:type="page"/>
      </w:r>
    </w:p>
    <w:p>
      <w:pPr>
        <w:keepNext/>
        <w:spacing w:before="440" w:after="120"/>
      </w:pPr>
      <w:r>
        <w:rPr>
          <w:b/>
          <w:i w:val="0"/>
          <w:color w:val="7A3B2E"/>
          <w:sz w:val="30"/>
          <w:rFonts w:ascii="Palatino Linotype" w:hAnsi="Palatino Linotype" w:cs="Palatino Linotype"/>
        </w:rPr>
        <w:t>2. DESCRIPCIÓN FUNCIONAL</w:t>
      </w:r>
    </w:p>
    <w:p>
      <w:pPr>
        <w:keepNext/>
        <w:spacing w:before="260" w:after="60"/>
      </w:pPr>
      <w:r>
        <w:rPr>
          <w:b/>
          <w:i w:val="0"/>
          <w:color w:val="1C1F26"/>
          <w:sz w:val="23"/>
          <w:rFonts w:ascii="Palatino Linotype" w:hAnsi="Palatino Linotype" w:cs="Palatino Linotype"/>
        </w:rPr>
        <w:t>2.1 Modo exprés: tres decisiones y una rúbrica lista</w:t>
      </w:r>
    </w:p>
    <w:p>
      <w:pPr>
        <w:jc w:val="both"/>
      </w:pPr>
      <w:r>
        <w:rPr>
          <w:b w:val="0"/>
          <w:i w:val="0"/>
          <w:color w:val="1C1F26"/>
          <w:sz w:val="21"/>
          <w:rFonts w:ascii="Palatino Linotype" w:hAnsi="Palatino Linotype" w:cs="Palatino Linotype"/>
        </w:rPr>
        <w:t>La entrada por defecto pide tres cosas —qué se va a evaluar, en qué curso y cuánto tiempo hay por alumno— y de ahí sale directamente la vista previa con los instrumentos generados. Es el camino pensado para el profesor sin experiencia previa en rúbricas, que es explícitamente el público del proyecto.</w:t>
      </w:r>
    </w:p>
    <w:p>
      <w:pPr>
        <w:jc w:val="both"/>
      </w:pPr>
      <w:r>
        <w:rPr>
          <w:b w:val="0"/>
          <w:i w:val="0"/>
          <w:color w:val="1C1F26"/>
          <w:sz w:val="21"/>
          <w:rFonts w:ascii="Palatino Linotype" w:hAnsi="Palatino Linotype" w:cs="Palatino Linotype"/>
        </w:rPr>
        <w:t>Los tres tramos de tiempo de corrección —menos de 2 min por alumno, de 2 a 5 min por alumno y más de 5 min por alumno— no son un dato decorativo: gobiernan el filtro de profundidad que decide cuántas dimensiones entran en el instrumento (§5.2).</w:t>
      </w:r>
    </w:p>
    <w:p>
      <w:pPr>
        <w:keepNext/>
        <w:spacing w:before="260" w:after="60"/>
      </w:pPr>
      <w:r>
        <w:rPr>
          <w:b/>
          <w:i w:val="0"/>
          <w:color w:val="1C1F26"/>
          <w:sz w:val="23"/>
          <w:rFonts w:ascii="Palatino Linotype" w:hAnsi="Palatino Linotype" w:cs="Palatino Linotype"/>
        </w:rPr>
        <w:t>2.2 Puerta de aplicabilidad: la rúbrica no sirve para todo</w:t>
      </w:r>
    </w:p>
    <w:p>
      <w:pPr>
        <w:jc w:val="both"/>
      </w:pPr>
      <w:r>
        <w:rPr>
          <w:b w:val="0"/>
          <w:i w:val="0"/>
          <w:color w:val="1C1F26"/>
          <w:sz w:val="21"/>
          <w:rFonts w:ascii="Palatino Linotype" w:hAnsi="Palatino Linotype" w:cs="Palatino Linotype"/>
        </w:rPr>
        <w:t xml:space="preserve">Antes de generar nada, la aplicación pregunta qué clase de prueba se va a evaluar y actúa en consecuencia. Son cinco respuestas posibles, y una de ellas hace que el programa </w:t>
      </w:r>
      <w:r>
        <w:rPr>
          <w:b/>
          <w:i w:val="0"/>
          <w:color w:val="1C1F26"/>
          <w:sz w:val="21"/>
          <w:rFonts w:ascii="Palatino Linotype" w:hAnsi="Palatino Linotype" w:cs="Palatino Linotype"/>
        </w:rPr>
        <w:t>se niegue a generar una rúbrica</w:t>
      </w:r>
      <w:r>
        <w:rPr>
          <w:b w:val="0"/>
          <w:i w:val="0"/>
          <w:color w:val="1C1F26"/>
          <w:sz w:val="21"/>
          <w:rFonts w:ascii="Palatino Linotype" w:hAnsi="Palatino Linotype" w:cs="Palatino Linotype"/>
        </w:rPr>
        <w:t xml:space="preserve"> y explique por qué:</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4706"/>
        <w:gridCol w:w="4706"/>
      </w:tblGrid>
      <w:tr>
        <w:tc>
          <w:tcPr>
            <w:tcW w:type="dxa" w:w="3175"/>
            <w:shd w:val="clear" w:fill="F4F2EE"/>
          </w:tcPr>
          <w:p>
            <w:pPr>
              <w:spacing w:before="60" w:after="60"/>
            </w:pPr>
            <w:r>
              <w:rPr>
                <w:b/>
                <w:i w:val="0"/>
                <w:color w:val="1C1F26"/>
                <w:sz w:val="18"/>
                <w:rFonts w:ascii="Palatino Linotype" w:hAnsi="Palatino Linotype" w:cs="Palatino Linotype"/>
              </w:rPr>
              <w:t>Qué se va a evaluar</w:t>
            </w:r>
          </w:p>
        </w:tc>
        <w:tc>
          <w:tcPr>
            <w:tcW w:type="dxa" w:w="6236"/>
            <w:shd w:val="clear" w:fill="F4F2EE"/>
          </w:tcPr>
          <w:p>
            <w:pPr>
              <w:spacing w:before="60" w:after="60"/>
            </w:pPr>
            <w:r>
              <w:rPr>
                <w:b/>
                <w:i w:val="0"/>
                <w:color w:val="1C1F26"/>
                <w:sz w:val="18"/>
                <w:rFonts w:ascii="Palatino Linotype" w:hAnsi="Palatino Linotype" w:cs="Palatino Linotype"/>
              </w:rPr>
              <w:t>Qué hace la aplicación</w:t>
            </w:r>
          </w:p>
        </w:tc>
      </w:tr>
      <w:tr>
        <w:tc>
          <w:tcPr>
            <w:tcW w:type="dxa" w:w="3175"/>
          </w:tcPr>
          <w:p>
            <w:pPr>
              <w:spacing w:before="60" w:after="60"/>
            </w:pPr>
            <w:r>
              <w:rPr>
                <w:b w:val="0"/>
                <w:i w:val="0"/>
                <w:color w:val="1C1F26"/>
                <w:sz w:val="18"/>
                <w:rFonts w:ascii="Palatino Linotype" w:hAnsi="Palatino Linotype" w:cs="Palatino Linotype"/>
              </w:rPr>
              <w:t>Prueba objetiva (test, huecos, dictado, preguntas factuales)</w:t>
            </w:r>
          </w:p>
        </w:tc>
        <w:tc>
          <w:tcPr>
            <w:tcW w:type="dxa" w:w="6236"/>
          </w:tcPr>
          <w:p>
            <w:pPr>
              <w:spacing w:before="60" w:after="60"/>
            </w:pPr>
            <w:r>
              <w:rPr>
                <w:b/>
                <w:i w:val="0"/>
                <w:color w:val="1C1F26"/>
                <w:sz w:val="18"/>
                <w:rFonts w:ascii="Palatino Linotype" w:hAnsi="Palatino Linotype" w:cs="Palatino Linotype"/>
              </w:rPr>
              <w:t>No genera rúbrica.</w:t>
            </w:r>
            <w:r>
              <w:rPr>
                <w:b w:val="0"/>
                <w:i w:val="0"/>
                <w:color w:val="1C1F26"/>
                <w:sz w:val="18"/>
                <w:rFonts w:ascii="Palatino Linotype" w:hAnsi="Palatino Linotype" w:cs="Palatino Linotype"/>
              </w:rPr>
              <w:t xml:space="preserve"> Explica que no hay gradación de calidad, solo acierto o error, y ofrece una plantilla de corrección con puntuación directa.</w:t>
            </w:r>
          </w:p>
        </w:tc>
      </w:tr>
      <w:tr>
        <w:tc>
          <w:tcPr>
            <w:tcW w:type="dxa" w:w="3175"/>
          </w:tcPr>
          <w:p>
            <w:pPr>
              <w:spacing w:before="60" w:after="60"/>
            </w:pPr>
            <w:r>
              <w:rPr>
                <w:b w:val="0"/>
                <w:i w:val="0"/>
                <w:color w:val="1C1F26"/>
                <w:sz w:val="18"/>
                <w:rFonts w:ascii="Palatino Linotype" w:hAnsi="Palatino Linotype" w:cs="Palatino Linotype"/>
              </w:rPr>
              <w:t>Desarrollo largo o comentario de texto</w:t>
            </w:r>
          </w:p>
        </w:tc>
        <w:tc>
          <w:tcPr>
            <w:tcW w:type="dxa" w:w="6236"/>
          </w:tcPr>
          <w:p>
            <w:pPr>
              <w:spacing w:before="60" w:after="60"/>
            </w:pPr>
            <w:r>
              <w:rPr>
                <w:b w:val="0"/>
                <w:i w:val="0"/>
                <w:color w:val="1C1F26"/>
                <w:sz w:val="18"/>
                <w:rFonts w:ascii="Palatino Linotype" w:hAnsi="Palatino Linotype" w:cs="Palatino Linotype"/>
              </w:rPr>
              <w:t>Propone la escala de estimación analítica en lugar de la rúbrica completa.</w:t>
            </w:r>
          </w:p>
        </w:tc>
      </w:tr>
      <w:tr>
        <w:tc>
          <w:tcPr>
            <w:tcW w:type="dxa" w:w="3175"/>
          </w:tcPr>
          <w:p>
            <w:pPr>
              <w:spacing w:before="60" w:after="60"/>
            </w:pPr>
            <w:r>
              <w:rPr>
                <w:b w:val="0"/>
                <w:i w:val="0"/>
                <w:color w:val="1C1F26"/>
                <w:sz w:val="18"/>
                <w:rFonts w:ascii="Palatino Linotype" w:hAnsi="Palatino Linotype" w:cs="Palatino Linotype"/>
              </w:rPr>
              <w:t>Actividad competencial</w:t>
            </w:r>
          </w:p>
        </w:tc>
        <w:tc>
          <w:tcPr>
            <w:tcW w:type="dxa" w:w="6236"/>
          </w:tcPr>
          <w:p>
            <w:pPr>
              <w:spacing w:before="60" w:after="60"/>
            </w:pPr>
            <w:r>
              <w:rPr>
                <w:b w:val="0"/>
                <w:i w:val="0"/>
                <w:color w:val="1C1F26"/>
                <w:sz w:val="18"/>
                <w:rFonts w:ascii="Palatino Linotype" w:hAnsi="Palatino Linotype" w:cs="Palatino Linotype"/>
              </w:rPr>
              <w:t>Terreno natural: rúbrica analítica completa.</w:t>
            </w:r>
          </w:p>
        </w:tc>
      </w:tr>
      <w:tr>
        <w:tc>
          <w:tcPr>
            <w:tcW w:type="dxa" w:w="3175"/>
          </w:tcPr>
          <w:p>
            <w:pPr>
              <w:spacing w:before="60" w:after="60"/>
            </w:pPr>
            <w:r>
              <w:rPr>
                <w:b w:val="0"/>
                <w:i w:val="0"/>
                <w:color w:val="1C1F26"/>
                <w:sz w:val="18"/>
                <w:rFonts w:ascii="Palatino Linotype" w:hAnsi="Palatino Linotype" w:cs="Palatino Linotype"/>
              </w:rPr>
              <w:t>Tarea diaria, borrador, ejercicio de proceso</w:t>
            </w:r>
          </w:p>
        </w:tc>
        <w:tc>
          <w:tcPr>
            <w:tcW w:type="dxa" w:w="6236"/>
          </w:tcPr>
          <w:p>
            <w:pPr>
              <w:spacing w:before="60" w:after="60"/>
            </w:pPr>
            <w:r>
              <w:rPr>
                <w:b w:val="0"/>
                <w:i w:val="0"/>
                <w:color w:val="1C1F26"/>
                <w:sz w:val="18"/>
                <w:rFonts w:ascii="Palatino Linotype" w:hAnsi="Palatino Linotype" w:cs="Palatino Linotype"/>
              </w:rPr>
              <w:t>Propone lista de cotejo o rúbrica de un solo punto, y desaconseja la completa.</w:t>
            </w:r>
          </w:p>
        </w:tc>
      </w:tr>
      <w:tr>
        <w:tc>
          <w:tcPr>
            <w:tcW w:type="dxa" w:w="3175"/>
          </w:tcPr>
          <w:p>
            <w:pPr>
              <w:spacing w:before="60" w:after="60"/>
            </w:pPr>
            <w:r>
              <w:rPr>
                <w:b w:val="0"/>
                <w:i w:val="0"/>
                <w:color w:val="1C1F26"/>
                <w:sz w:val="18"/>
                <w:rFonts w:ascii="Palatino Linotype" w:hAnsi="Palatino Linotype" w:cs="Palatino Linotype"/>
              </w:rPr>
              <w:t>Fase de un texto (esquema, borrador, revisión, párrafo suelto)</w:t>
            </w:r>
          </w:p>
        </w:tc>
        <w:tc>
          <w:tcPr>
            <w:tcW w:type="dxa" w:w="6236"/>
          </w:tcPr>
          <w:p>
            <w:pPr>
              <w:spacing w:before="60" w:after="60"/>
            </w:pPr>
            <w:r>
              <w:rPr>
                <w:b/>
                <w:i w:val="0"/>
                <w:color w:val="1C1F26"/>
                <w:sz w:val="18"/>
                <w:rFonts w:ascii="Palatino Linotype" w:hAnsi="Palatino Linotype" w:cs="Palatino Linotype"/>
              </w:rPr>
              <w:t>Premarca solo las dimensiones de proceso</w:t>
            </w:r>
            <w:r>
              <w:rPr>
                <w:b w:val="0"/>
                <w:i w:val="0"/>
                <w:color w:val="1C1F26"/>
                <w:sz w:val="18"/>
                <w:rFonts w:ascii="Palatino Linotype" w:hAnsi="Palatino Linotype" w:cs="Palatino Linotype"/>
              </w:rPr>
              <w:t xml:space="preserve"> y abre la lista de cotejo: lo que se entrega no es el texto, y en un esquema no hay cohesión que observar.</w:t>
            </w:r>
          </w:p>
        </w:tc>
      </w:tr>
    </w:tbl>
    <w:p>
      <w:pPr>
        <w:spacing w:after="0"/>
      </w:pPr>
    </w:p>
    <w:p>
      <w:pPr>
        <w:jc w:val="both"/>
      </w:pPr>
      <w:r>
        <w:rPr>
          <w:b w:val="0"/>
          <w:i w:val="0"/>
          <w:color w:val="1C1F26"/>
          <w:sz w:val="21"/>
          <w:rFonts w:ascii="Palatino Linotype" w:hAnsi="Palatino Linotype" w:cs="Palatino Linotype"/>
        </w:rPr>
        <w:t>La aplicación propone y explica; el profesor puede seguir adelante con otra elección. Educa, no impone. Lo que la puerta recomienda es además lo que entrega: la pestaña con la que se abre la vista previa es la del instrumento recomendado, porque un consejo que hay que ir a buscar a otra pestaña no es un consejo, es letra pequeña.</w:t>
      </w:r>
    </w:p>
    <w:p>
      <w:pPr>
        <w:keepNext/>
        <w:spacing w:before="260" w:after="60"/>
      </w:pPr>
      <w:r>
        <w:rPr>
          <w:b/>
          <w:i w:val="0"/>
          <w:color w:val="1C1F26"/>
          <w:sz w:val="23"/>
          <w:rFonts w:ascii="Palatino Linotype" w:hAnsi="Palatino Linotype" w:cs="Palatino Linotype"/>
        </w:rPr>
        <w:t>2.3 Motor de generación</w:t>
      </w:r>
    </w:p>
    <w:p>
      <w:pPr>
        <w:jc w:val="both"/>
      </w:pPr>
      <w:r>
        <w:rPr>
          <w:b w:val="0"/>
          <w:i w:val="0"/>
          <w:color w:val="1C1F26"/>
          <w:sz w:val="21"/>
          <w:rFonts w:ascii="Palatino Linotype" w:hAnsi="Palatino Linotype" w:cs="Palatino Linotype"/>
        </w:rPr>
        <w:t>El motor encadena una secuencia fija de pasos, todos implementados como funciones puras y cubiertos por casos dorados:</w:t>
      </w:r>
    </w:p>
    <w:p>
      <w:pPr>
        <w:pStyle w:val="ListBullet"/>
        <w:spacing w:after="60"/>
        <w:jc w:val="both"/>
      </w:pPr>
      <w:r>
        <w:rPr>
          <w:b w:val="0"/>
          <w:i w:val="0"/>
          <w:color w:val="1C1F26"/>
          <w:sz w:val="21"/>
          <w:rFonts w:ascii="Palatino Linotype" w:hAnsi="Palatino Linotype" w:cs="Palatino Linotype"/>
        </w:rPr>
        <w:t>Resolver la puerta de aplicabilidad y elegir la familia de instrumento recomendada.</w:t>
      </w:r>
    </w:p>
    <w:p>
      <w:pPr>
        <w:pStyle w:val="ListBullet"/>
        <w:spacing w:after="60"/>
        <w:jc w:val="both"/>
      </w:pPr>
      <w:r>
        <w:rPr>
          <w:b w:val="0"/>
          <w:i w:val="0"/>
          <w:color w:val="1C1F26"/>
          <w:sz w:val="21"/>
          <w:rFonts w:ascii="Palatino Linotype" w:hAnsi="Palatino Linotype" w:cs="Palatino Linotype"/>
        </w:rPr>
        <w:t>Comprobar la matriz de tarea × curso: si la combinación no está sostenida por el currículo, explicarlo y proponer la alternativa de ese curso.</w:t>
      </w:r>
    </w:p>
    <w:p>
      <w:pPr>
        <w:pStyle w:val="ListBullet"/>
        <w:spacing w:after="60"/>
        <w:jc w:val="both"/>
      </w:pPr>
      <w:r>
        <w:rPr>
          <w:b w:val="0"/>
          <w:i w:val="0"/>
          <w:color w:val="1C1F26"/>
          <w:sz w:val="21"/>
          <w:rFonts w:ascii="Palatino Linotype" w:hAnsi="Palatino Linotype" w:cs="Palatino Linotype"/>
        </w:rPr>
        <w:t>Filtrar los criterios del pack por curso y por tipo de tarea, resolviendo las herencias.</w:t>
      </w:r>
    </w:p>
    <w:p>
      <w:pPr>
        <w:pStyle w:val="ListBullet"/>
        <w:spacing w:after="60"/>
        <w:jc w:val="both"/>
      </w:pPr>
      <w:r>
        <w:rPr>
          <w:b w:val="0"/>
          <w:i w:val="0"/>
          <w:color w:val="1C1F26"/>
          <w:sz w:val="21"/>
          <w:rFonts w:ascii="Palatino Linotype" w:hAnsi="Palatino Linotype" w:cs="Palatino Linotype"/>
        </w:rPr>
        <w:t>Premarcar dimensiones agrupadas por bloque LOMLOE, con la regla especial de la fase de un texto y sus dos casos de borde (§5.1).</w:t>
      </w:r>
    </w:p>
    <w:p>
      <w:pPr>
        <w:pStyle w:val="ListBullet"/>
        <w:spacing w:after="60"/>
        <w:jc w:val="both"/>
      </w:pPr>
      <w:r>
        <w:rPr>
          <w:b w:val="0"/>
          <w:i w:val="0"/>
          <w:color w:val="1C1F26"/>
          <w:sz w:val="21"/>
          <w:rFonts w:ascii="Palatino Linotype" w:hAnsi="Palatino Linotype" w:cs="Palatino Linotype"/>
        </w:rPr>
        <w:t>Aplicar el filtro de profundidad según el tiempo de corrección declarado.</w:t>
      </w:r>
    </w:p>
    <w:p>
      <w:pPr>
        <w:pStyle w:val="ListBullet"/>
        <w:spacing w:after="60"/>
        <w:jc w:val="both"/>
      </w:pPr>
      <w:r>
        <w:rPr>
          <w:b w:val="0"/>
          <w:i w:val="0"/>
          <w:color w:val="1C1F26"/>
          <w:sz w:val="21"/>
          <w:rFonts w:ascii="Palatino Linotype" w:hAnsi="Palatino Linotype" w:cs="Palatino Linotype"/>
        </w:rPr>
        <w:t>Normalizar los pesos a cien y comprobar la coherencia de la progresión declarada.</w:t>
      </w:r>
    </w:p>
    <w:p>
      <w:pPr>
        <w:pStyle w:val="ListBullet"/>
        <w:spacing w:after="60"/>
        <w:jc w:val="both"/>
      </w:pPr>
      <w:r>
        <w:rPr>
          <w:b w:val="0"/>
          <w:i w:val="0"/>
          <w:color w:val="1C1F26"/>
          <w:sz w:val="21"/>
          <w:rFonts w:ascii="Palatino Linotype" w:hAnsi="Palatino Linotype" w:cs="Palatino Linotype"/>
        </w:rPr>
        <w:t>Calcular el indicador de complejidad y avisar por encima de cinco dimensiones si el instrumento no es un producto final integrador.</w:t>
      </w:r>
    </w:p>
    <w:p>
      <w:pPr>
        <w:pStyle w:val="ListBullet"/>
        <w:spacing w:after="60"/>
        <w:jc w:val="both"/>
      </w:pPr>
      <w:r>
        <w:rPr>
          <w:b w:val="0"/>
          <w:i w:val="0"/>
          <w:color w:val="1C1F26"/>
          <w:sz w:val="21"/>
          <w:rFonts w:ascii="Palatino Linotype" w:hAnsi="Palatino Linotype" w:cs="Palatino Linotype"/>
        </w:rPr>
        <w:t>Ejecutar el validador de calidad sobre el conjunto resultante y renderizar cada instrumento, más la hoja del alumno, que siempre se genera.</w:t>
      </w:r>
    </w:p>
    <w:p>
      <w:pPr>
        <w:keepNext/>
        <w:spacing w:before="260" w:after="60"/>
      </w:pPr>
      <w:r>
        <w:rPr>
          <w:b/>
          <w:i w:val="0"/>
          <w:color w:val="1C1F26"/>
          <w:sz w:val="23"/>
          <w:rFonts w:ascii="Palatino Linotype" w:hAnsi="Palatino Linotype" w:cs="Palatino Linotype"/>
        </w:rPr>
        <w:t>2.4 Catálogo de instrumentos</w:t>
      </w:r>
    </w:p>
    <w:p>
      <w:pPr>
        <w:jc w:val="both"/>
      </w:pPr>
      <w:r>
        <w:rPr>
          <w:b w:val="0"/>
          <w:i w:val="0"/>
          <w:color w:val="1C1F26"/>
          <w:sz w:val="21"/>
          <w:rFonts w:ascii="Palatino Linotype" w:hAnsi="Palatino Linotype" w:cs="Palatino Linotype"/>
        </w:rPr>
        <w:t xml:space="preserve">El catálogo especifica ocho instrumentos y el programa genera hoy </w:t>
      </w:r>
      <w:r>
        <w:rPr>
          <w:b/>
          <w:i w:val="0"/>
          <w:color w:val="1C1F26"/>
          <w:sz w:val="21"/>
          <w:rFonts w:ascii="Palatino Linotype" w:hAnsi="Palatino Linotype" w:cs="Palatino Linotype"/>
        </w:rPr>
        <w:t>siete</w:t>
      </w:r>
      <w:r>
        <w:rPr>
          <w:b w:val="0"/>
          <w:i w:val="0"/>
          <w:color w:val="1C1F26"/>
          <w:sz w:val="21"/>
          <w:rFonts w:ascii="Palatino Linotype" w:hAnsi="Palatino Linotype" w:cs="Palatino Linotype"/>
        </w:rPr>
        <w:t xml:space="preserve"> de ellos, todos a partir del mismo conjunto de criterios filtrados:</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3137"/>
        <w:gridCol w:w="3137"/>
        <w:gridCol w:w="3137"/>
      </w:tblGrid>
      <w:tr>
        <w:tc>
          <w:tcPr>
            <w:tcW w:type="dxa" w:w="2154"/>
            <w:shd w:val="clear" w:fill="F4F2EE"/>
          </w:tcPr>
          <w:p>
            <w:pPr>
              <w:spacing w:before="60" w:after="60"/>
            </w:pPr>
            <w:r>
              <w:rPr>
                <w:b/>
                <w:i w:val="0"/>
                <w:color w:val="1C1F26"/>
                <w:sz w:val="18"/>
                <w:rFonts w:ascii="Palatino Linotype" w:hAnsi="Palatino Linotype" w:cs="Palatino Linotype"/>
              </w:rPr>
              <w:t>Instrumento</w:t>
            </w:r>
          </w:p>
        </w:tc>
        <w:tc>
          <w:tcPr>
            <w:tcW w:type="dxa" w:w="2381"/>
            <w:shd w:val="clear" w:fill="F4F2EE"/>
          </w:tcPr>
          <w:p>
            <w:pPr>
              <w:spacing w:before="60" w:after="60"/>
            </w:pPr>
            <w:r>
              <w:rPr>
                <w:b/>
                <w:i w:val="0"/>
                <w:color w:val="1C1F26"/>
                <w:sz w:val="18"/>
                <w:rFonts w:ascii="Palatino Linotype" w:hAnsi="Palatino Linotype" w:cs="Palatino Linotype"/>
              </w:rPr>
              <w:t>Cuándo se usa</w:t>
            </w:r>
          </w:p>
        </w:tc>
        <w:tc>
          <w:tcPr>
            <w:tcW w:type="dxa" w:w="4876"/>
            <w:shd w:val="clear" w:fill="F4F2EE"/>
          </w:tcPr>
          <w:p>
            <w:pPr>
              <w:spacing w:before="60" w:after="60"/>
            </w:pPr>
            <w:r>
              <w:rPr>
                <w:b/>
                <w:i w:val="0"/>
                <w:color w:val="1C1F26"/>
                <w:sz w:val="18"/>
                <w:rFonts w:ascii="Palatino Linotype" w:hAnsi="Palatino Linotype" w:cs="Palatino Linotype"/>
              </w:rPr>
              <w:t>Regla de derivación</w:t>
            </w:r>
          </w:p>
        </w:tc>
      </w:tr>
      <w:tr>
        <w:tc>
          <w:tcPr>
            <w:tcW w:type="dxa" w:w="2154"/>
          </w:tcPr>
          <w:p>
            <w:pPr>
              <w:spacing w:before="60" w:after="60"/>
            </w:pPr>
            <w:r>
              <w:rPr>
                <w:b w:val="0"/>
                <w:i w:val="0"/>
                <w:color w:val="1C1F26"/>
                <w:sz w:val="18"/>
                <w:rFonts w:ascii="Palatino Linotype" w:hAnsi="Palatino Linotype" w:cs="Palatino Linotype"/>
              </w:rPr>
              <w:t>Rúbrica analítica</w:t>
            </w:r>
          </w:p>
        </w:tc>
        <w:tc>
          <w:tcPr>
            <w:tcW w:type="dxa" w:w="2381"/>
          </w:tcPr>
          <w:p>
            <w:pPr>
              <w:spacing w:before="60" w:after="60"/>
            </w:pPr>
            <w:r>
              <w:rPr>
                <w:b w:val="0"/>
                <w:i w:val="0"/>
                <w:color w:val="1C1F26"/>
                <w:sz w:val="18"/>
                <w:rFonts w:ascii="Palatino Linotype" w:hAnsi="Palatino Linotype" w:cs="Palatino Linotype"/>
              </w:rPr>
              <w:t>Producto final integrador</w:t>
            </w:r>
          </w:p>
        </w:tc>
        <w:tc>
          <w:tcPr>
            <w:tcW w:type="dxa" w:w="4876"/>
          </w:tcPr>
          <w:p>
            <w:pPr>
              <w:spacing w:before="60" w:after="60"/>
            </w:pPr>
            <w:r>
              <w:rPr>
                <w:b w:val="0"/>
                <w:i w:val="0"/>
                <w:color w:val="1C1F26"/>
                <w:sz w:val="18"/>
                <w:rFonts w:ascii="Palatino Linotype" w:hAnsi="Palatino Linotype" w:cs="Palatino Linotype"/>
              </w:rPr>
              <w:t>Matriz completa: dimensiones en filas, cuatro niveles en columnas, peso por dimensión.</w:t>
            </w:r>
          </w:p>
        </w:tc>
      </w:tr>
      <w:tr>
        <w:tc>
          <w:tcPr>
            <w:tcW w:type="dxa" w:w="2154"/>
          </w:tcPr>
          <w:p>
            <w:pPr>
              <w:spacing w:before="60" w:after="60"/>
            </w:pPr>
            <w:r>
              <w:rPr>
                <w:b w:val="0"/>
                <w:i w:val="0"/>
                <w:color w:val="1C1F26"/>
                <w:sz w:val="18"/>
                <w:rFonts w:ascii="Palatino Linotype" w:hAnsi="Palatino Linotype" w:cs="Palatino Linotype"/>
              </w:rPr>
              <w:t>Lista de cotejo</w:t>
            </w:r>
          </w:p>
        </w:tc>
        <w:tc>
          <w:tcPr>
            <w:tcW w:type="dxa" w:w="2381"/>
          </w:tcPr>
          <w:p>
            <w:pPr>
              <w:spacing w:before="60" w:after="60"/>
            </w:pPr>
            <w:r>
              <w:rPr>
                <w:b w:val="0"/>
                <w:i w:val="0"/>
                <w:color w:val="1C1F26"/>
                <w:sz w:val="18"/>
                <w:rFonts w:ascii="Palatino Linotype" w:hAnsi="Palatino Linotype" w:cs="Palatino Linotype"/>
              </w:rPr>
              <w:t>Tarea diaria o intermedia</w:t>
            </w:r>
          </w:p>
        </w:tc>
        <w:tc>
          <w:tcPr>
            <w:tcW w:type="dxa" w:w="4876"/>
          </w:tcPr>
          <w:p>
            <w:pPr>
              <w:spacing w:before="60" w:after="60"/>
            </w:pPr>
            <w:r>
              <w:rPr>
                <w:b w:val="0"/>
                <w:i w:val="0"/>
                <w:color w:val="1C1F26"/>
                <w:sz w:val="18"/>
                <w:rFonts w:ascii="Palatino Linotype" w:hAnsi="Palatino Linotype" w:cs="Palatino Linotype"/>
              </w:rPr>
              <w:t>Se deriva del descriptor de nivel 2 convertido en afirmación verificable con casilla.</w:t>
            </w:r>
          </w:p>
        </w:tc>
      </w:tr>
      <w:tr>
        <w:tc>
          <w:tcPr>
            <w:tcW w:type="dxa" w:w="2154"/>
          </w:tcPr>
          <w:p>
            <w:pPr>
              <w:spacing w:before="60" w:after="60"/>
            </w:pPr>
            <w:r>
              <w:rPr>
                <w:b/>
                <w:i w:val="0"/>
                <w:color w:val="1C1F26"/>
                <w:sz w:val="18"/>
                <w:rFonts w:ascii="Palatino Linotype" w:hAnsi="Palatino Linotype" w:cs="Palatino Linotype"/>
              </w:rPr>
              <w:t>Hoja del alumno</w:t>
            </w:r>
          </w:p>
        </w:tc>
        <w:tc>
          <w:tcPr>
            <w:tcW w:type="dxa" w:w="2381"/>
          </w:tcPr>
          <w:p>
            <w:pPr>
              <w:spacing w:before="60" w:after="60"/>
            </w:pPr>
            <w:r>
              <w:rPr>
                <w:b/>
                <w:i w:val="0"/>
                <w:color w:val="1C1F26"/>
                <w:sz w:val="18"/>
                <w:rFonts w:ascii="Palatino Linotype" w:hAnsi="Palatino Linotype" w:cs="Palatino Linotype"/>
              </w:rPr>
              <w:t>Siempre — no se puede desmarcar</w:t>
            </w:r>
          </w:p>
        </w:tc>
        <w:tc>
          <w:tcPr>
            <w:tcW w:type="dxa" w:w="4876"/>
          </w:tcPr>
          <w:p>
            <w:pPr>
              <w:spacing w:before="60" w:after="60"/>
            </w:pPr>
            <w:r>
              <w:rPr>
                <w:b w:val="0"/>
                <w:i w:val="0"/>
                <w:color w:val="1C1F26"/>
                <w:sz w:val="18"/>
                <w:rFonts w:ascii="Palatino Linotype" w:hAnsi="Palatino Linotype" w:cs="Palatino Linotype"/>
              </w:rPr>
              <w:t>Qué se te pide, qué se valora y con qué peso, cómo llegar al nivel excelente y cómo se calcula la nota.</w:t>
            </w:r>
          </w:p>
        </w:tc>
      </w:tr>
      <w:tr>
        <w:tc>
          <w:tcPr>
            <w:tcW w:type="dxa" w:w="2154"/>
          </w:tcPr>
          <w:p>
            <w:pPr>
              <w:spacing w:before="60" w:after="60"/>
            </w:pPr>
            <w:r>
              <w:rPr>
                <w:b w:val="0"/>
                <w:i w:val="0"/>
                <w:color w:val="1C1F26"/>
                <w:sz w:val="18"/>
                <w:rFonts w:ascii="Palatino Linotype" w:hAnsi="Palatino Linotype" w:cs="Palatino Linotype"/>
              </w:rPr>
              <w:t>Rúbrica de un solo punto</w:t>
            </w:r>
          </w:p>
        </w:tc>
        <w:tc>
          <w:tcPr>
            <w:tcW w:type="dxa" w:w="2381"/>
          </w:tcPr>
          <w:p>
            <w:pPr>
              <w:spacing w:before="60" w:after="60"/>
            </w:pPr>
            <w:r>
              <w:rPr>
                <w:b w:val="0"/>
                <w:i w:val="0"/>
                <w:color w:val="1C1F26"/>
                <w:sz w:val="18"/>
                <w:rFonts w:ascii="Palatino Linotype" w:hAnsi="Palatino Linotype" w:cs="Palatino Linotype"/>
              </w:rPr>
              <w:t>Borradores y tareas de proceso</w:t>
            </w:r>
          </w:p>
        </w:tc>
        <w:tc>
          <w:tcPr>
            <w:tcW w:type="dxa" w:w="4876"/>
          </w:tcPr>
          <w:p>
            <w:pPr>
              <w:spacing w:before="60" w:after="60"/>
            </w:pPr>
            <w:r>
              <w:rPr>
                <w:b w:val="0"/>
                <w:i w:val="0"/>
                <w:color w:val="1C1F26"/>
                <w:sz w:val="18"/>
                <w:rFonts w:ascii="Palatino Linotype" w:hAnsi="Palatino Linotype" w:cs="Palatino Linotype"/>
              </w:rPr>
              <w:t>Columna central con el descriptor de nivel 2 y dos columnas en blanco para evidencias.</w:t>
            </w:r>
          </w:p>
        </w:tc>
      </w:tr>
      <w:tr>
        <w:tc>
          <w:tcPr>
            <w:tcW w:type="dxa" w:w="2154"/>
          </w:tcPr>
          <w:p>
            <w:pPr>
              <w:spacing w:before="60" w:after="60"/>
            </w:pPr>
            <w:r>
              <w:rPr>
                <w:b w:val="0"/>
                <w:i w:val="0"/>
                <w:color w:val="1C1F26"/>
                <w:sz w:val="18"/>
                <w:rFonts w:ascii="Palatino Linotype" w:hAnsi="Palatino Linotype" w:cs="Palatino Linotype"/>
              </w:rPr>
              <w:t>Autoevaluación</w:t>
            </w:r>
          </w:p>
        </w:tc>
        <w:tc>
          <w:tcPr>
            <w:tcW w:type="dxa" w:w="2381"/>
          </w:tcPr>
          <w:p>
            <w:pPr>
              <w:spacing w:before="60" w:after="60"/>
            </w:pPr>
            <w:r>
              <w:rPr>
                <w:b w:val="0"/>
                <w:i w:val="0"/>
                <w:color w:val="1C1F26"/>
                <w:sz w:val="18"/>
                <w:rFonts w:ascii="Palatino Linotype" w:hAnsi="Palatino Linotype" w:cs="Palatino Linotype"/>
              </w:rPr>
              <w:t>Durante el proceso</w:t>
            </w:r>
          </w:p>
        </w:tc>
        <w:tc>
          <w:tcPr>
            <w:tcW w:type="dxa" w:w="4876"/>
          </w:tcPr>
          <w:p>
            <w:pPr>
              <w:spacing w:before="60" w:after="60"/>
            </w:pPr>
            <w:r>
              <w:rPr>
                <w:b w:val="0"/>
                <w:i w:val="0"/>
                <w:color w:val="1C1F26"/>
                <w:sz w:val="18"/>
                <w:rFonts w:ascii="Palatino Linotype" w:hAnsi="Palatino Linotype" w:cs="Palatino Linotype"/>
              </w:rPr>
              <w:t>La matriz completa reconjugada a primera persona mediante el banco de verbos (§5.5).</w:t>
            </w:r>
          </w:p>
        </w:tc>
      </w:tr>
      <w:tr>
        <w:tc>
          <w:tcPr>
            <w:tcW w:type="dxa" w:w="2154"/>
          </w:tcPr>
          <w:p>
            <w:pPr>
              <w:spacing w:before="60" w:after="60"/>
            </w:pPr>
            <w:r>
              <w:rPr>
                <w:b w:val="0"/>
                <w:i w:val="0"/>
                <w:color w:val="1C1F26"/>
                <w:sz w:val="18"/>
                <w:rFonts w:ascii="Palatino Linotype" w:hAnsi="Palatino Linotype" w:cs="Palatino Linotype"/>
              </w:rPr>
              <w:t>Coevaluación</w:t>
            </w:r>
          </w:p>
        </w:tc>
        <w:tc>
          <w:tcPr>
            <w:tcW w:type="dxa" w:w="2381"/>
          </w:tcPr>
          <w:p>
            <w:pPr>
              <w:spacing w:before="60" w:after="60"/>
            </w:pPr>
            <w:r>
              <w:rPr>
                <w:b w:val="0"/>
                <w:i w:val="0"/>
                <w:color w:val="1C1F26"/>
                <w:sz w:val="18"/>
                <w:rFonts w:ascii="Palatino Linotype" w:hAnsi="Palatino Linotype" w:cs="Palatino Linotype"/>
              </w:rPr>
              <w:t>Trabajo entre iguales</w:t>
            </w:r>
          </w:p>
        </w:tc>
        <w:tc>
          <w:tcPr>
            <w:tcW w:type="dxa" w:w="4876"/>
          </w:tcPr>
          <w:p>
            <w:pPr>
              <w:spacing w:before="60" w:after="60"/>
            </w:pPr>
            <w:r>
              <w:rPr>
                <w:b w:val="0"/>
                <w:i w:val="0"/>
                <w:color w:val="1C1F26"/>
                <w:sz w:val="18"/>
                <w:rFonts w:ascii="Palatino Linotype" w:hAnsi="Palatino Linotype" w:cs="Palatino Linotype"/>
              </w:rPr>
              <w:t>La misma proyección, más un campo de comentario obligatorio por dimensión.</w:t>
            </w:r>
          </w:p>
        </w:tc>
      </w:tr>
      <w:tr>
        <w:tc>
          <w:tcPr>
            <w:tcW w:type="dxa" w:w="2154"/>
          </w:tcPr>
          <w:p>
            <w:pPr>
              <w:spacing w:before="60" w:after="60"/>
            </w:pPr>
            <w:r>
              <w:rPr>
                <w:b w:val="0"/>
                <w:i w:val="0"/>
                <w:color w:val="1C1F26"/>
                <w:sz w:val="18"/>
                <w:rFonts w:ascii="Palatino Linotype" w:hAnsi="Palatino Linotype" w:cs="Palatino Linotype"/>
              </w:rPr>
              <w:t>Escala de estimación analítica</w:t>
            </w:r>
          </w:p>
        </w:tc>
        <w:tc>
          <w:tcPr>
            <w:tcW w:type="dxa" w:w="2381"/>
          </w:tcPr>
          <w:p>
            <w:pPr>
              <w:spacing w:before="60" w:after="60"/>
            </w:pPr>
            <w:r>
              <w:rPr>
                <w:b w:val="0"/>
                <w:i w:val="0"/>
                <w:color w:val="1C1F26"/>
                <w:sz w:val="18"/>
                <w:rFonts w:ascii="Palatino Linotype" w:hAnsi="Palatino Linotype" w:cs="Palatino Linotype"/>
              </w:rPr>
              <w:t>Desarrollo largo, comentario de texto</w:t>
            </w:r>
          </w:p>
        </w:tc>
        <w:tc>
          <w:tcPr>
            <w:tcW w:type="dxa" w:w="4876"/>
          </w:tcPr>
          <w:p>
            <w:pPr>
              <w:spacing w:before="60" w:after="60"/>
            </w:pPr>
            <w:r>
              <w:rPr>
                <w:b w:val="0"/>
                <w:i w:val="0"/>
                <w:color w:val="1C1F26"/>
                <w:sz w:val="18"/>
                <w:rFonts w:ascii="Palatino Linotype" w:hAnsi="Palatino Linotype" w:cs="Palatino Linotype"/>
              </w:rPr>
              <w:t>Puntuación directa por apartado sobre diez, más el detractor global declarado con su tope.</w:t>
            </w:r>
          </w:p>
        </w:tc>
      </w:tr>
    </w:tbl>
    <w:p>
      <w:pPr>
        <w:spacing w:after="0"/>
      </w:pPr>
    </w:p>
    <w:p>
      <w:pPr>
        <w:keepNext/>
        <w:spacing w:before="260" w:after="60"/>
      </w:pPr>
      <w:r>
        <w:rPr>
          <w:b/>
          <w:i w:val="0"/>
          <w:color w:val="1C1F26"/>
          <w:sz w:val="23"/>
          <w:rFonts w:ascii="Palatino Linotype" w:hAnsi="Palatino Linotype" w:cs="Palatino Linotype"/>
        </w:rPr>
        <w:t>2.5 La hoja del alumno</w:t>
      </w:r>
    </w:p>
    <w:p>
      <w:pPr>
        <w:jc w:val="both"/>
      </w:pPr>
      <w:r>
        <w:rPr>
          <w:b w:val="0"/>
          <w:i w:val="0"/>
          <w:color w:val="1C1F26"/>
          <w:sz w:val="21"/>
          <w:rFonts w:ascii="Palatino Linotype" w:hAnsi="Palatino Linotype" w:cs="Palatino Linotype"/>
        </w:rPr>
        <w:t xml:space="preserve">Es la pieza que materializa el objetivo del proyecto y por eso es la única salida obligatoria. Contiene la actividad tal y como la escribió el profesor; cada dimensión con su peso en lenguaje directo y —cuando los pesos no son iguales— </w:t>
      </w:r>
      <w:r>
        <w:rPr>
          <w:b/>
          <w:i w:val="0"/>
          <w:color w:val="1C1F26"/>
          <w:sz w:val="21"/>
          <w:rFonts w:ascii="Palatino Linotype" w:hAnsi="Palatino Linotype" w:cs="Palatino Linotype"/>
        </w:rPr>
        <w:t>la razón declarada de por qué no lo son</w:t>
      </w:r>
      <w:r>
        <w:rPr>
          <w:b w:val="0"/>
          <w:i w:val="0"/>
          <w:color w:val="1C1F26"/>
          <w:sz w:val="21"/>
          <w:rFonts w:ascii="Palatino Linotype" w:hAnsi="Palatino Linotype" w:cs="Palatino Linotype"/>
        </w:rPr>
        <w:t>, escrita para que la lea el alumno antes de la prueba; el descriptor de nivel excelente traducido a instrucción accionable; y el modo exacto en que se calcula la nota, sin letra pequeña. Incorpora además un desplegable que recompone el resultado de cualquier alumno ya calificado contra el instrumento vigente.</w:t>
      </w:r>
    </w:p>
    <w:tbl>
      <w:tblPr>
        <w:tblW w:type="auto" w:w="0"/>
        <w:tblLook w:firstColumn="1" w:firstRow="1" w:lastColumn="0" w:lastRow="0" w:noHBand="0" w:noVBand="1" w:val="04A0"/>
        <w:tblBorders>
          <w:top w:val="single" w:sz="6" w:color="E0C9B8"/>
          <w:left w:val="single" w:sz="6" w:color="E0C9B8"/>
          <w:bottom w:val="single" w:sz="6" w:color="E0C9B8"/>
          <w:right w:val="single" w:sz="6" w:color="E0C9B8"/>
          <w:insideH w:val="single" w:sz="6" w:color="E0C9B8"/>
          <w:insideV w:val="single" w:sz="6" w:color="E0C9B8"/>
        </w:tblBorders>
      </w:tblPr>
      <w:tblGrid>
        <w:gridCol w:w="9412"/>
      </w:tblGrid>
      <w:tr>
        <w:tc>
          <w:tcPr>
            <w:tcW w:type="dxa" w:w="9412"/>
            <w:shd w:val="clear" w:fill="F1E4D9"/>
          </w:tcPr>
          <w:p>
            <w:pPr>
              <w:spacing w:before="100" w:after="40"/>
            </w:pPr>
            <w:r>
              <w:rPr>
                <w:b/>
                <w:i w:val="0"/>
                <w:color w:val="7A3B2E"/>
                <w:sz w:val="20"/>
                <w:rFonts w:ascii="Palatino Linotype" w:hAnsi="Palatino Linotype" w:cs="Palatino Linotype"/>
              </w:rPr>
              <w:t>La razón del peso, y por qué está aquí</w:t>
            </w:r>
          </w:p>
          <w:p>
            <w:pPr>
              <w:spacing w:after="100"/>
            </w:pPr>
            <w:r>
              <w:rPr>
                <w:b w:val="0"/>
                <w:i w:val="0"/>
                <w:color w:val="1C1F26"/>
                <w:sz w:val="20"/>
                <w:rFonts w:ascii="Palatino Linotype" w:hAnsi="Palatino Linotype" w:cs="Palatino Linotype"/>
              </w:rPr>
              <w:t xml:space="preserve">El marco de referencia fija </w:t>
            </w:r>
            <w:r>
              <w:rPr>
                <w:b/>
                <w:i w:val="0"/>
                <w:color w:val="1C1F26"/>
                <w:sz w:val="20"/>
                <w:rFonts w:ascii="Palatino Linotype" w:hAnsi="Palatino Linotype" w:cs="Palatino Linotype"/>
              </w:rPr>
              <w:t>ponderación igual por defecto</w:t>
            </w:r>
            <w:r>
              <w:rPr>
                <w:b w:val="0"/>
                <w:i w:val="0"/>
                <w:color w:val="1C1F26"/>
                <w:sz w:val="20"/>
                <w:rFonts w:ascii="Palatino Linotype" w:hAnsi="Palatino Linotype" w:cs="Palatino Linotype"/>
              </w:rPr>
              <w:t xml:space="preserve"> y solo admite desigualarla con una razón escrita. La obra convierte eso en mecánica: el pack declara esa razón, la hoja del alumno la imprime y el validador avisa en cuanto los pesos de un curso dejan de ser iguales y nadie ha escrito por qué. Declarar la razón en el sitio donde significa algo —el papel que el alumno tiene delante— es una decisión de diseño, no un detalle de maquetación.</w:t>
            </w:r>
          </w:p>
        </w:tc>
      </w:tr>
    </w:tbl>
    <w:p>
      <w:pPr>
        <w:spacing w:after="0"/>
      </w:pPr>
    </w:p>
    <w:p>
      <w:pPr>
        <w:keepNext/>
        <w:spacing w:before="260" w:after="60"/>
      </w:pPr>
      <w:r>
        <w:rPr>
          <w:b/>
          <w:i w:val="0"/>
          <w:color w:val="1C1F26"/>
          <w:sz w:val="23"/>
          <w:rFonts w:ascii="Palatino Linotype" w:hAnsi="Palatino Linotype" w:cs="Palatino Linotype"/>
        </w:rPr>
        <w:t>2.6 Validador de calidad de descriptores</w:t>
      </w:r>
    </w:p>
    <w:p>
      <w:pPr>
        <w:jc w:val="both"/>
      </w:pPr>
      <w:r>
        <w:rPr>
          <w:b w:val="0"/>
          <w:i w:val="0"/>
          <w:color w:val="1C1F26"/>
          <w:sz w:val="21"/>
          <w:rFonts w:ascii="Palatino Linotype" w:hAnsi="Palatino Linotype" w:cs="Palatino Linotype"/>
        </w:rPr>
        <w:t xml:space="preserve">El validador es el mecanismo por el que la herramienta forma al profesorado. Vigila </w:t>
      </w:r>
      <w:r>
        <w:rPr>
          <w:b/>
          <w:i w:val="0"/>
          <w:color w:val="1C1F26"/>
          <w:sz w:val="21"/>
          <w:rFonts w:ascii="Palatino Linotype" w:hAnsi="Palatino Linotype" w:cs="Palatino Linotype"/>
        </w:rPr>
        <w:t>23 reglas</w:t>
      </w:r>
      <w:r>
        <w:rPr>
          <w:b w:val="0"/>
          <w:i w:val="0"/>
          <w:color w:val="1C1F26"/>
          <w:sz w:val="21"/>
          <w:rFonts w:ascii="Palatino Linotype" w:hAnsi="Palatino Linotype" w:cs="Palatino Linotype"/>
        </w:rPr>
        <w:t xml:space="preserve"> y se ejecuta dos veces: al construir el contenido y al cargar el pack en la aplicación, que pinta un panel de salud agrupado por regla. Cada aviso lleva su explicación desplegable: dice qué está mal y, al lado, por qué la regla existe. Los errores bloquean la carga de un pack; en la edición manual del profesor avisan y explican, pero no impiden continuar.</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4706"/>
        <w:gridCol w:w="4706"/>
      </w:tblGrid>
      <w:tr>
        <w:tc>
          <w:tcPr>
            <w:tcW w:type="dxa" w:w="2494"/>
            <w:shd w:val="clear" w:fill="F4F2EE"/>
          </w:tcPr>
          <w:p>
            <w:pPr>
              <w:spacing w:before="60" w:after="60"/>
            </w:pPr>
            <w:r>
              <w:rPr>
                <w:b/>
                <w:i w:val="0"/>
                <w:color w:val="1C1F26"/>
                <w:sz w:val="18"/>
                <w:rFonts w:ascii="Palatino Linotype" w:hAnsi="Palatino Linotype" w:cs="Palatino Linotype"/>
              </w:rPr>
              <w:t>Regla</w:t>
            </w:r>
          </w:p>
        </w:tc>
        <w:tc>
          <w:tcPr>
            <w:tcW w:type="dxa" w:w="6917"/>
            <w:shd w:val="clear" w:fill="F4F2EE"/>
          </w:tcPr>
          <w:p>
            <w:pPr>
              <w:spacing w:before="60" w:after="60"/>
            </w:pPr>
            <w:r>
              <w:rPr>
                <w:b/>
                <w:i w:val="0"/>
                <w:color w:val="1C1F26"/>
                <w:sz w:val="18"/>
                <w:rFonts w:ascii="Palatino Linotype" w:hAnsi="Palatino Linotype" w:cs="Palatino Linotype"/>
              </w:rPr>
              <w:t>Qué detecta</w:t>
            </w:r>
          </w:p>
        </w:tc>
      </w:tr>
      <w:tr>
        <w:tc>
          <w:tcPr>
            <w:tcW w:type="dxa" w:w="2494"/>
          </w:tcPr>
          <w:p>
            <w:pPr>
              <w:spacing w:before="60" w:after="60"/>
            </w:pPr>
            <w:r>
              <w:rPr>
                <w:b w:val="0"/>
                <w:i w:val="0"/>
                <w:color w:val="1C1F26"/>
                <w:sz w:val="18"/>
                <w:rFonts w:ascii="Palatino Linotype" w:hAnsi="Palatino Linotype" w:cs="Palatino Linotype"/>
              </w:rPr>
              <w:t>Trazabilidad</w:t>
            </w:r>
          </w:p>
        </w:tc>
        <w:tc>
          <w:tcPr>
            <w:tcW w:type="dxa" w:w="6917"/>
          </w:tcPr>
          <w:p>
            <w:pPr>
              <w:spacing w:before="60" w:after="60"/>
            </w:pPr>
            <w:r>
              <w:rPr>
                <w:b w:val="0"/>
                <w:i w:val="0"/>
                <w:color w:val="1C1F26"/>
                <w:sz w:val="18"/>
                <w:rFonts w:ascii="Palatino Linotype" w:hAnsi="Palatino Linotype" w:cs="Palatino Linotype"/>
              </w:rPr>
              <w:t>Criterio sin cita del criterio oficial. Error de pack: no carga.</w:t>
            </w:r>
          </w:p>
        </w:tc>
      </w:tr>
      <w:tr>
        <w:tc>
          <w:tcPr>
            <w:tcW w:type="dxa" w:w="2494"/>
          </w:tcPr>
          <w:p>
            <w:pPr>
              <w:spacing w:before="60" w:after="60"/>
            </w:pPr>
            <w:r>
              <w:rPr>
                <w:b w:val="0"/>
                <w:i w:val="0"/>
                <w:color w:val="1C1F26"/>
                <w:sz w:val="18"/>
                <w:rFonts w:ascii="Palatino Linotype" w:hAnsi="Palatino Linotype" w:cs="Palatino Linotype"/>
              </w:rPr>
              <w:t>Verbo observable</w:t>
            </w:r>
          </w:p>
        </w:tc>
        <w:tc>
          <w:tcPr>
            <w:tcW w:type="dxa" w:w="6917"/>
          </w:tcPr>
          <w:p>
            <w:pPr>
              <w:spacing w:before="60" w:after="60"/>
            </w:pPr>
            <w:r>
              <w:rPr>
                <w:b w:val="0"/>
                <w:i w:val="0"/>
                <w:color w:val="1C1F26"/>
                <w:sz w:val="18"/>
                <w:rFonts w:ascii="Palatino Linotype" w:hAnsi="Palatino Linotype" w:cs="Palatino Linotype"/>
              </w:rPr>
              <w:t>El descriptor no empieza por un verbo del banco cerrado.</w:t>
            </w:r>
          </w:p>
        </w:tc>
      </w:tr>
      <w:tr>
        <w:tc>
          <w:tcPr>
            <w:tcW w:type="dxa" w:w="2494"/>
          </w:tcPr>
          <w:p>
            <w:pPr>
              <w:spacing w:before="60" w:after="60"/>
            </w:pPr>
            <w:r>
              <w:rPr>
                <w:b w:val="0"/>
                <w:i w:val="0"/>
                <w:color w:val="1C1F26"/>
                <w:sz w:val="18"/>
                <w:rFonts w:ascii="Palatino Linotype" w:hAnsi="Palatino Linotype" w:cs="Palatino Linotype"/>
              </w:rPr>
              <w:t>Adverbitis</w:t>
            </w:r>
          </w:p>
        </w:tc>
        <w:tc>
          <w:tcPr>
            <w:tcW w:type="dxa" w:w="6917"/>
          </w:tcPr>
          <w:p>
            <w:pPr>
              <w:spacing w:before="60" w:after="60"/>
            </w:pPr>
            <w:r>
              <w:rPr>
                <w:b w:val="0"/>
                <w:i w:val="0"/>
                <w:color w:val="1C1F26"/>
                <w:sz w:val="18"/>
                <w:rFonts w:ascii="Palatino Linotype" w:hAnsi="Palatino Linotype" w:cs="Palatino Linotype"/>
              </w:rPr>
              <w:t>Calificadores vagos sin anclaje: *bien*, *adecuadamente*, *a veces*, *bastante*.</w:t>
            </w:r>
          </w:p>
        </w:tc>
      </w:tr>
      <w:tr>
        <w:tc>
          <w:tcPr>
            <w:tcW w:type="dxa" w:w="2494"/>
          </w:tcPr>
          <w:p>
            <w:pPr>
              <w:spacing w:before="60" w:after="60"/>
            </w:pPr>
            <w:r>
              <w:rPr>
                <w:b w:val="0"/>
                <w:i w:val="0"/>
                <w:color w:val="1C1F26"/>
                <w:sz w:val="18"/>
                <w:rFonts w:ascii="Palatino Linotype" w:hAnsi="Palatino Linotype" w:cs="Palatino Linotype"/>
              </w:rPr>
              <w:t>Adverbitis en banda</w:t>
            </w:r>
          </w:p>
        </w:tc>
        <w:tc>
          <w:tcPr>
            <w:tcW w:type="dxa" w:w="6917"/>
          </w:tcPr>
          <w:p>
            <w:pPr>
              <w:spacing w:before="60" w:after="60"/>
            </w:pPr>
            <w:r>
              <w:rPr>
                <w:b w:val="0"/>
                <w:i w:val="0"/>
                <w:color w:val="1C1F26"/>
                <w:sz w:val="18"/>
                <w:rFonts w:ascii="Palatino Linotype" w:hAnsi="Palatino Linotype" w:cs="Palatino Linotype"/>
              </w:rPr>
              <w:t>Una condición de banda usa un calificador vago en lugar de algo contable. Es el fallo que inutiliza la matriz para corrección asistida.</w:t>
            </w:r>
          </w:p>
        </w:tc>
      </w:tr>
      <w:tr>
        <w:tc>
          <w:tcPr>
            <w:tcW w:type="dxa" w:w="2494"/>
          </w:tcPr>
          <w:p>
            <w:pPr>
              <w:spacing w:before="60" w:after="60"/>
            </w:pPr>
            <w:r>
              <w:rPr>
                <w:b w:val="0"/>
                <w:i w:val="0"/>
                <w:color w:val="1C1F26"/>
                <w:sz w:val="18"/>
                <w:rFonts w:ascii="Palatino Linotype" w:hAnsi="Palatino Linotype" w:cs="Palatino Linotype"/>
              </w:rPr>
              <w:t>Gradación positiva</w:t>
            </w:r>
          </w:p>
        </w:tc>
        <w:tc>
          <w:tcPr>
            <w:tcW w:type="dxa" w:w="6917"/>
          </w:tcPr>
          <w:p>
            <w:pPr>
              <w:spacing w:before="60" w:after="60"/>
            </w:pPr>
            <w:r>
              <w:rPr>
                <w:b w:val="0"/>
                <w:i w:val="0"/>
                <w:color w:val="1C1F26"/>
                <w:sz w:val="18"/>
                <w:rFonts w:ascii="Palatino Linotype" w:hAnsi="Palatino Linotype" w:cs="Palatino Linotype"/>
              </w:rPr>
              <w:t>Un descriptor de nivel 1 formulado en negativo en lugar de describir lo que el alumno sí hace de forma limitada.</w:t>
            </w:r>
          </w:p>
        </w:tc>
      </w:tr>
      <w:tr>
        <w:tc>
          <w:tcPr>
            <w:tcW w:type="dxa" w:w="2494"/>
          </w:tcPr>
          <w:p>
            <w:pPr>
              <w:spacing w:before="60" w:after="60"/>
            </w:pPr>
            <w:r>
              <w:rPr>
                <w:b w:val="0"/>
                <w:i w:val="0"/>
                <w:color w:val="1C1F26"/>
                <w:sz w:val="18"/>
                <w:rFonts w:ascii="Palatino Linotype" w:hAnsi="Palatino Linotype" w:cs="Palatino Linotype"/>
              </w:rPr>
              <w:t>Saber como vehículo</w:t>
            </w:r>
          </w:p>
        </w:tc>
        <w:tc>
          <w:tcPr>
            <w:tcW w:type="dxa" w:w="6917"/>
          </w:tcPr>
          <w:p>
            <w:pPr>
              <w:spacing w:before="60" w:after="60"/>
            </w:pPr>
            <w:r>
              <w:rPr>
                <w:b w:val="0"/>
                <w:i w:val="0"/>
                <w:color w:val="1C1F26"/>
                <w:sz w:val="18"/>
                <w:rFonts w:ascii="Palatino Linotype" w:hAnsi="Palatino Linotype" w:cs="Palatino Linotype"/>
              </w:rPr>
              <w:t>El nombre de la dimensión es un contenido («las subordinadas») en vez de una acción competencial («cohesión: conectores y puntuación»).</w:t>
            </w:r>
          </w:p>
        </w:tc>
      </w:tr>
      <w:tr>
        <w:tc>
          <w:tcPr>
            <w:tcW w:type="dxa" w:w="2494"/>
          </w:tcPr>
          <w:p>
            <w:pPr>
              <w:spacing w:before="60" w:after="60"/>
            </w:pPr>
            <w:r>
              <w:rPr>
                <w:b w:val="0"/>
                <w:i w:val="0"/>
                <w:color w:val="1C1F26"/>
                <w:sz w:val="18"/>
                <w:rFonts w:ascii="Palatino Linotype" w:hAnsi="Palatino Linotype" w:cs="Palatino Linotype"/>
              </w:rPr>
              <w:t>Niveles indistinguibles</w:t>
            </w:r>
          </w:p>
        </w:tc>
        <w:tc>
          <w:tcPr>
            <w:tcW w:type="dxa" w:w="6917"/>
          </w:tcPr>
          <w:p>
            <w:pPr>
              <w:spacing w:before="60" w:after="60"/>
            </w:pPr>
            <w:r>
              <w:rPr>
                <w:b w:val="0"/>
                <w:i w:val="0"/>
                <w:color w:val="1C1F26"/>
                <w:sz w:val="18"/>
                <w:rFonts w:ascii="Palatino Linotype" w:hAnsi="Palatino Linotype" w:cs="Palatino Linotype"/>
              </w:rPr>
              <w:t>Dos niveles contiguos que solo se diferencian por un adverbio.</w:t>
            </w:r>
          </w:p>
        </w:tc>
      </w:tr>
      <w:tr>
        <w:tc>
          <w:tcPr>
            <w:tcW w:type="dxa" w:w="2494"/>
          </w:tcPr>
          <w:p>
            <w:pPr>
              <w:spacing w:before="60" w:after="60"/>
            </w:pPr>
            <w:r>
              <w:rPr>
                <w:b w:val="0"/>
                <w:i w:val="0"/>
                <w:color w:val="1C1F26"/>
                <w:sz w:val="18"/>
                <w:rFonts w:ascii="Palatino Linotype" w:hAnsi="Palatino Linotype" w:cs="Palatino Linotype"/>
              </w:rPr>
              <w:t>Modalizadores del criterio</w:t>
            </w:r>
          </w:p>
        </w:tc>
        <w:tc>
          <w:tcPr>
            <w:tcW w:type="dxa" w:w="6917"/>
          </w:tcPr>
          <w:p>
            <w:pPr>
              <w:spacing w:before="60" w:after="60"/>
            </w:pPr>
            <w:r>
              <w:rPr>
                <w:b w:val="0"/>
                <w:i w:val="0"/>
                <w:color w:val="1C1F26"/>
                <w:sz w:val="18"/>
                <w:rFonts w:ascii="Palatino Linotype" w:hAnsi="Palatino Linotype" w:cs="Palatino Linotype"/>
              </w:rPr>
              <w:t>Dos direcciones: el criterio impone una ayuda que ningún descriptor nombra, o el criterio ya pide autonomía y el descriptor conserva el andamiaje del curso anterior.</w:t>
            </w:r>
          </w:p>
        </w:tc>
      </w:tr>
      <w:tr>
        <w:tc>
          <w:tcPr>
            <w:tcW w:type="dxa" w:w="2494"/>
          </w:tcPr>
          <w:p>
            <w:pPr>
              <w:spacing w:before="60" w:after="60"/>
            </w:pPr>
            <w:r>
              <w:rPr>
                <w:b w:val="0"/>
                <w:i w:val="0"/>
                <w:color w:val="1C1F26"/>
                <w:sz w:val="18"/>
                <w:rFonts w:ascii="Palatino Linotype" w:hAnsi="Palatino Linotype" w:cs="Palatino Linotype"/>
              </w:rPr>
              <w:t>Copia entre cursos</w:t>
            </w:r>
          </w:p>
        </w:tc>
        <w:tc>
          <w:tcPr>
            <w:tcW w:type="dxa" w:w="6917"/>
          </w:tcPr>
          <w:p>
            <w:pPr>
              <w:spacing w:before="60" w:after="60"/>
            </w:pPr>
            <w:r>
              <w:rPr>
                <w:b w:val="0"/>
                <w:i w:val="0"/>
                <w:color w:val="1C1F26"/>
                <w:sz w:val="18"/>
                <w:rFonts w:ascii="Palatino Linotype" w:hAnsi="Palatino Linotype" w:cs="Palatino Linotype"/>
              </w:rPr>
              <w:t>Descriptores textualmente idénticos en dos cursos distintos. El nivel 1 queda exento, porque el punto de partida converge de forma legítima.</w:t>
            </w:r>
          </w:p>
        </w:tc>
      </w:tr>
      <w:tr>
        <w:tc>
          <w:tcPr>
            <w:tcW w:type="dxa" w:w="2494"/>
          </w:tcPr>
          <w:p>
            <w:pPr>
              <w:spacing w:before="60" w:after="60"/>
            </w:pPr>
            <w:r>
              <w:rPr>
                <w:b w:val="0"/>
                <w:i w:val="0"/>
                <w:color w:val="1C1F26"/>
                <w:sz w:val="18"/>
                <w:rFonts w:ascii="Palatino Linotype" w:hAnsi="Palatino Linotype" w:cs="Palatino Linotype"/>
              </w:rPr>
              <w:t>Tarea aplicable al curso</w:t>
            </w:r>
          </w:p>
        </w:tc>
        <w:tc>
          <w:tcPr>
            <w:tcW w:type="dxa" w:w="6917"/>
          </w:tcPr>
          <w:p>
            <w:pPr>
              <w:spacing w:before="60" w:after="60"/>
            </w:pPr>
            <w:r>
              <w:rPr>
                <w:b w:val="0"/>
                <w:i w:val="0"/>
                <w:color w:val="1C1F26"/>
                <w:sz w:val="18"/>
                <w:rFonts w:ascii="Palatino Linotype" w:hAnsi="Palatino Linotype" w:cs="Palatino Linotype"/>
              </w:rPr>
              <w:t>El tipo de tarea no está sostenido por los criterios de ese curso.</w:t>
            </w:r>
          </w:p>
        </w:tc>
      </w:tr>
      <w:tr>
        <w:tc>
          <w:tcPr>
            <w:tcW w:type="dxa" w:w="2494"/>
          </w:tcPr>
          <w:p>
            <w:pPr>
              <w:spacing w:before="60" w:after="60"/>
            </w:pPr>
            <w:r>
              <w:rPr>
                <w:b w:val="0"/>
                <w:i w:val="0"/>
                <w:color w:val="1C1F26"/>
                <w:sz w:val="18"/>
                <w:rFonts w:ascii="Palatino Linotype" w:hAnsi="Palatino Linotype" w:cs="Palatino Linotype"/>
              </w:rPr>
              <w:t>Dimensión de proceso sin respaldo</w:t>
            </w:r>
          </w:p>
        </w:tc>
        <w:tc>
          <w:tcPr>
            <w:tcW w:type="dxa" w:w="6917"/>
          </w:tcPr>
          <w:p>
            <w:pPr>
              <w:spacing w:before="60" w:after="60"/>
            </w:pPr>
            <w:r>
              <w:rPr>
                <w:b w:val="0"/>
                <w:i w:val="0"/>
                <w:color w:val="1C1F26"/>
                <w:sz w:val="18"/>
                <w:rFonts w:ascii="Palatino Linotype" w:hAnsi="Palatino Linotype" w:cs="Palatino Linotype"/>
              </w:rPr>
              <w:t>Un criterio se declara de proceso y su cita oficial no habla de planificar, de borradores ni de revisar.</w:t>
            </w:r>
          </w:p>
        </w:tc>
      </w:tr>
      <w:tr>
        <w:tc>
          <w:tcPr>
            <w:tcW w:type="dxa" w:w="2494"/>
          </w:tcPr>
          <w:p>
            <w:pPr>
              <w:spacing w:before="60" w:after="60"/>
            </w:pPr>
            <w:r>
              <w:rPr>
                <w:b w:val="0"/>
                <w:i w:val="0"/>
                <w:color w:val="1C1F26"/>
                <w:sz w:val="18"/>
                <w:rFonts w:ascii="Palatino Linotype" w:hAnsi="Palatino Linotype" w:cs="Palatino Linotype"/>
              </w:rPr>
              <w:t>Matriz cuadrada</w:t>
            </w:r>
          </w:p>
        </w:tc>
        <w:tc>
          <w:tcPr>
            <w:tcW w:type="dxa" w:w="6917"/>
          </w:tcPr>
          <w:p>
            <w:pPr>
              <w:spacing w:before="60" w:after="60"/>
            </w:pPr>
            <w:r>
              <w:rPr>
                <w:b w:val="0"/>
                <w:i w:val="0"/>
                <w:color w:val="1C1F26"/>
                <w:sz w:val="18"/>
                <w:rFonts w:ascii="Palatino Linotype" w:hAnsi="Palatino Linotype" w:cs="Palatino Linotype"/>
              </w:rPr>
              <w:t>Los componentes no suman el total declarado, falta la banda de cero o hay puntuaciones repetidas.</w:t>
            </w:r>
          </w:p>
        </w:tc>
      </w:tr>
      <w:tr>
        <w:tc>
          <w:tcPr>
            <w:tcW w:type="dxa" w:w="2494"/>
          </w:tcPr>
          <w:p>
            <w:pPr>
              <w:spacing w:before="60" w:after="60"/>
            </w:pPr>
            <w:r>
              <w:rPr>
                <w:b w:val="0"/>
                <w:i w:val="0"/>
                <w:color w:val="1C1F26"/>
                <w:sz w:val="18"/>
                <w:rFonts w:ascii="Palatino Linotype" w:hAnsi="Palatino Linotype" w:cs="Palatino Linotype"/>
              </w:rPr>
              <w:t>Continuidad de bandas</w:t>
            </w:r>
          </w:p>
        </w:tc>
        <w:tc>
          <w:tcPr>
            <w:tcW w:type="dxa" w:w="6917"/>
          </w:tcPr>
          <w:p>
            <w:pPr>
              <w:spacing w:before="60" w:after="60"/>
            </w:pPr>
            <w:r>
              <w:rPr>
                <w:b w:val="0"/>
                <w:i w:val="0"/>
                <w:color w:val="1C1F26"/>
                <w:sz w:val="18"/>
                <w:rFonts w:ascii="Palatino Linotype" w:hAnsi="Palatino Linotype" w:cs="Palatino Linotype"/>
              </w:rPr>
              <w:t>En un componente que cuenta incidencias, las bandas dejan un recuento fuera: un salto, un arranque por encima de cero o una última banda cerrada.</w:t>
            </w:r>
          </w:p>
        </w:tc>
      </w:tr>
      <w:tr>
        <w:tc>
          <w:tcPr>
            <w:tcW w:type="dxa" w:w="2494"/>
          </w:tcPr>
          <w:p>
            <w:pPr>
              <w:spacing w:before="60" w:after="60"/>
            </w:pPr>
            <w:r>
              <w:rPr>
                <w:b w:val="0"/>
                <w:i w:val="0"/>
                <w:color w:val="1C1F26"/>
                <w:sz w:val="18"/>
                <w:rFonts w:ascii="Palatino Linotype" w:hAnsi="Palatino Linotype" w:cs="Palatino Linotype"/>
              </w:rPr>
              <w:t>Penalización sin tope</w:t>
            </w:r>
          </w:p>
        </w:tc>
        <w:tc>
          <w:tcPr>
            <w:tcW w:type="dxa" w:w="6917"/>
          </w:tcPr>
          <w:p>
            <w:pPr>
              <w:spacing w:before="60" w:after="60"/>
            </w:pPr>
            <w:r>
              <w:rPr>
                <w:b w:val="0"/>
                <w:i w:val="0"/>
                <w:color w:val="1C1F26"/>
                <w:sz w:val="18"/>
                <w:rFonts w:ascii="Palatino Linotype" w:hAnsi="Palatino Linotype" w:cs="Palatino Linotype"/>
              </w:rPr>
              <w:t>Una penalización sin tope, con tope positivo, o cuyo tope pasa del límite de la dimensión; también si todas juntas pueden restar más de la mitad.</w:t>
            </w:r>
          </w:p>
        </w:tc>
      </w:tr>
      <w:tr>
        <w:tc>
          <w:tcPr>
            <w:tcW w:type="dxa" w:w="2494"/>
          </w:tcPr>
          <w:p>
            <w:pPr>
              <w:spacing w:before="60" w:after="60"/>
            </w:pPr>
            <w:r>
              <w:rPr>
                <w:b w:val="0"/>
                <w:i w:val="0"/>
                <w:color w:val="1C1F26"/>
                <w:sz w:val="18"/>
                <w:rFonts w:ascii="Palatino Linotype" w:hAnsi="Palatino Linotype" w:cs="Palatino Linotype"/>
              </w:rPr>
              <w:t>Doble castigo</w:t>
            </w:r>
          </w:p>
        </w:tc>
        <w:tc>
          <w:tcPr>
            <w:tcW w:type="dxa" w:w="6917"/>
          </w:tcPr>
          <w:p>
            <w:pPr>
              <w:spacing w:before="60" w:after="60"/>
            </w:pPr>
            <w:r>
              <w:rPr>
                <w:b w:val="0"/>
                <w:i w:val="0"/>
                <w:color w:val="1C1F26"/>
                <w:sz w:val="18"/>
                <w:rFonts w:ascii="Palatino Linotype" w:hAnsi="Palatino Linotype" w:cs="Palatino Linotype"/>
              </w:rPr>
              <w:t>Una penalización mide un fenómeno que un componente de la misma matriz ya recoge.</w:t>
            </w:r>
          </w:p>
        </w:tc>
      </w:tr>
      <w:tr>
        <w:tc>
          <w:tcPr>
            <w:tcW w:type="dxa" w:w="2494"/>
          </w:tcPr>
          <w:p>
            <w:pPr>
              <w:spacing w:before="60" w:after="60"/>
            </w:pPr>
            <w:r>
              <w:rPr>
                <w:b w:val="0"/>
                <w:i w:val="0"/>
                <w:color w:val="1C1F26"/>
                <w:sz w:val="18"/>
                <w:rFonts w:ascii="Palatino Linotype" w:hAnsi="Palatino Linotype" w:cs="Palatino Linotype"/>
              </w:rPr>
              <w:t>Reparto de pesos</w:t>
            </w:r>
          </w:p>
        </w:tc>
        <w:tc>
          <w:tcPr>
            <w:tcW w:type="dxa" w:w="6917"/>
          </w:tcPr>
          <w:p>
            <w:pPr>
              <w:spacing w:before="60" w:after="60"/>
            </w:pPr>
            <w:r>
              <w:rPr>
                <w:b w:val="0"/>
                <w:i w:val="0"/>
                <w:color w:val="1C1F26"/>
                <w:sz w:val="18"/>
                <w:rFonts w:ascii="Palatino Linotype" w:hAnsi="Palatino Linotype" w:cs="Palatino Linotype"/>
              </w:rPr>
              <w:t>Una dimensión por encima del 40 % o por debajo del 5 %.</w:t>
            </w:r>
          </w:p>
        </w:tc>
      </w:tr>
      <w:tr>
        <w:tc>
          <w:tcPr>
            <w:tcW w:type="dxa" w:w="2494"/>
          </w:tcPr>
          <w:p>
            <w:pPr>
              <w:spacing w:before="60" w:after="60"/>
            </w:pPr>
            <w:r>
              <w:rPr>
                <w:b w:val="0"/>
                <w:i w:val="0"/>
                <w:color w:val="1C1F26"/>
                <w:sz w:val="18"/>
                <w:rFonts w:ascii="Palatino Linotype" w:hAnsi="Palatino Linotype" w:cs="Palatino Linotype"/>
              </w:rPr>
              <w:t>Reparto desigual sin razón</w:t>
            </w:r>
          </w:p>
        </w:tc>
        <w:tc>
          <w:tcPr>
            <w:tcW w:type="dxa" w:w="6917"/>
          </w:tcPr>
          <w:p>
            <w:pPr>
              <w:spacing w:before="60" w:after="60"/>
            </w:pPr>
            <w:r>
              <w:rPr>
                <w:b w:val="0"/>
                <w:i w:val="0"/>
                <w:color w:val="1C1F26"/>
                <w:sz w:val="18"/>
                <w:rFonts w:ascii="Palatino Linotype" w:hAnsi="Palatino Linotype" w:cs="Palatino Linotype"/>
              </w:rPr>
              <w:t>Los pesos de un curso no son iguales y nadie ha escrito por qué.</w:t>
            </w:r>
          </w:p>
        </w:tc>
      </w:tr>
      <w:tr>
        <w:tc>
          <w:tcPr>
            <w:tcW w:type="dxa" w:w="2494"/>
          </w:tcPr>
          <w:p>
            <w:pPr>
              <w:spacing w:before="60" w:after="60"/>
            </w:pPr>
            <w:r>
              <w:rPr>
                <w:b w:val="0"/>
                <w:i w:val="0"/>
                <w:color w:val="1C1F26"/>
                <w:sz w:val="18"/>
                <w:rFonts w:ascii="Palatino Linotype" w:hAnsi="Palatino Linotype" w:cs="Palatino Linotype"/>
              </w:rPr>
              <w:t>Sostenibilidad</w:t>
            </w:r>
          </w:p>
        </w:tc>
        <w:tc>
          <w:tcPr>
            <w:tcW w:type="dxa" w:w="6917"/>
          </w:tcPr>
          <w:p>
            <w:pPr>
              <w:spacing w:before="60" w:after="60"/>
            </w:pPr>
            <w:r>
              <w:rPr>
                <w:b w:val="0"/>
                <w:i w:val="0"/>
                <w:color w:val="1C1F26"/>
                <w:sz w:val="18"/>
                <w:rFonts w:ascii="Palatino Linotype" w:hAnsi="Palatino Linotype" w:cs="Palatino Linotype"/>
              </w:rPr>
              <w:t>Más de cinco dimensiones en un instrumento que no es producto final.</w:t>
            </w:r>
          </w:p>
        </w:tc>
      </w:tr>
      <w:tr>
        <w:tc>
          <w:tcPr>
            <w:tcW w:type="dxa" w:w="2494"/>
          </w:tcPr>
          <w:p>
            <w:pPr>
              <w:spacing w:before="60" w:after="60"/>
            </w:pPr>
            <w:r>
              <w:rPr>
                <w:b w:val="0"/>
                <w:i w:val="0"/>
                <w:color w:val="1C1F26"/>
                <w:sz w:val="18"/>
                <w:rFonts w:ascii="Palatino Linotype" w:hAnsi="Palatino Linotype" w:cs="Palatino Linotype"/>
              </w:rPr>
              <w:t>Pesos por curso · Materia sin léxico · Proceso sin respaldo</w:t>
            </w:r>
          </w:p>
        </w:tc>
        <w:tc>
          <w:tcPr>
            <w:tcW w:type="dxa" w:w="6917"/>
          </w:tcPr>
          <w:p>
            <w:pPr>
              <w:spacing w:before="60" w:after="60"/>
            </w:pPr>
            <w:r>
              <w:rPr>
                <w:b w:val="0"/>
                <w:i w:val="0"/>
                <w:color w:val="1C1F26"/>
                <w:sz w:val="18"/>
                <w:rFonts w:ascii="Palatino Linotype" w:hAnsi="Palatino Linotype" w:cs="Palatino Linotype"/>
              </w:rPr>
              <w:t>Reglas de integridad estructural del pack y de la materia.</w:t>
            </w:r>
          </w:p>
        </w:tc>
      </w:tr>
    </w:tbl>
    <w:p>
      <w:pPr>
        <w:spacing w:after="0"/>
      </w:pPr>
    </w:p>
    <w:p>
      <w:pPr>
        <w:keepNext/>
        <w:spacing w:before="260" w:after="60"/>
      </w:pPr>
      <w:r>
        <w:rPr>
          <w:b/>
          <w:i w:val="0"/>
          <w:color w:val="1C1F26"/>
          <w:sz w:val="23"/>
          <w:rFonts w:ascii="Palatino Linotype" w:hAnsi="Palatino Linotype" w:cs="Palatino Linotype"/>
        </w:rPr>
        <w:t>2.7 Microexplicaciones</w:t>
      </w:r>
    </w:p>
    <w:p>
      <w:pPr>
        <w:jc w:val="both"/>
      </w:pPr>
      <w:r>
        <w:rPr>
          <w:b w:val="0"/>
          <w:i w:val="0"/>
          <w:color w:val="1C1F26"/>
          <w:sz w:val="21"/>
          <w:rFonts w:ascii="Palatino Linotype" w:hAnsi="Palatino Linotype" w:cs="Palatino Linotype"/>
        </w:rPr>
        <w:t xml:space="preserve">Cada control lleva un «¿por qué?» desplegable de dos o tres líneas. Los veinticinco textos viven en un catálogo único y no en el marcado, de modo que el mismo texto se use en el formulario, en la vista previa y en el modo avanzado. </w:t>
      </w:r>
      <w:r>
        <w:rPr>
          <w:b/>
          <w:i w:val="0"/>
          <w:color w:val="1C1F26"/>
          <w:sz w:val="21"/>
          <w:rFonts w:ascii="Palatino Linotype" w:hAnsi="Palatino Linotype" w:cs="Palatino Linotype"/>
        </w:rPr>
        <w:t>No se imprimen</w:t>
      </w:r>
      <w:r>
        <w:rPr>
          <w:b w:val="0"/>
          <w:i w:val="0"/>
          <w:color w:val="1C1F26"/>
          <w:sz w:val="21"/>
          <w:rFonts w:ascii="Palatino Linotype" w:hAnsi="Palatino Linotype" w:cs="Palatino Linotype"/>
        </w:rPr>
        <w:t>: el instrumento impreso es para el aula, no para el profesor que está aprendiendo a construirlo.</w:t>
      </w:r>
    </w:p>
    <w:p>
      <w:pPr>
        <w:keepNext/>
        <w:spacing w:before="260" w:after="60"/>
      </w:pPr>
      <w:r>
        <w:rPr>
          <w:b/>
          <w:i w:val="0"/>
          <w:color w:val="1C1F26"/>
          <w:sz w:val="23"/>
          <w:rFonts w:ascii="Palatino Linotype" w:hAnsi="Palatino Linotype" w:cs="Palatino Linotype"/>
        </w:rPr>
        <w:t>2.8 Modo avanzado</w:t>
      </w:r>
    </w:p>
    <w:p>
      <w:pPr>
        <w:jc w:val="both"/>
      </w:pPr>
      <w:r>
        <w:rPr>
          <w:b w:val="0"/>
          <w:i w:val="0"/>
          <w:color w:val="1C1F26"/>
          <w:sz w:val="21"/>
          <w:rFonts w:ascii="Palatino Linotype" w:hAnsi="Palatino Linotype" w:cs="Palatino Linotype"/>
        </w:rPr>
        <w:t xml:space="preserve">Desde la vista previa, «Ajustar» permite marcar y desmarcar dimensiones agrupadas por bloque curricular y mover los pesos con deslizadores libres entre cero y cien, que el sistema normaliza a cien al soltar y muestra en una barra de reparto. Los avisos de reparto </w:t>
      </w:r>
      <w:r>
        <w:rPr>
          <w:b/>
          <w:i w:val="0"/>
          <w:color w:val="1C1F26"/>
          <w:sz w:val="21"/>
          <w:rFonts w:ascii="Palatino Linotype" w:hAnsi="Palatino Linotype" w:cs="Palatino Linotype"/>
        </w:rPr>
        <w:t>nunca bloquean</w:t>
      </w:r>
      <w:r>
        <w:rPr>
          <w:b w:val="0"/>
          <w:i w:val="0"/>
          <w:color w:val="1C1F26"/>
          <w:sz w:val="21"/>
          <w:rFonts w:ascii="Palatino Linotype" w:hAnsi="Palatino Linotype" w:cs="Palatino Linotype"/>
        </w:rPr>
        <w:t>: si un profesor decide que la ortografía vale la mitad de la nota en una tarea concreta, la aplicación se lo advierte una vez y le deja hacerlo. La decisión de calificación es suya, no de la herramienta.</w:t>
      </w:r>
    </w:p>
    <w:p>
      <w:pPr>
        <w:keepNext/>
        <w:spacing w:before="260" w:after="60"/>
      </w:pPr>
      <w:r>
        <w:rPr>
          <w:b/>
          <w:i w:val="0"/>
          <w:color w:val="1C1F26"/>
          <w:sz w:val="23"/>
          <w:rFonts w:ascii="Palatino Linotype" w:hAnsi="Palatino Linotype" w:cs="Palatino Linotype"/>
        </w:rPr>
        <w:t>2.9 Pantalla de calificar</w:t>
      </w:r>
    </w:p>
    <w:p>
      <w:pPr>
        <w:jc w:val="both"/>
      </w:pPr>
      <w:r>
        <w:rPr>
          <w:b w:val="0"/>
          <w:i w:val="0"/>
          <w:color w:val="1C1F26"/>
          <w:sz w:val="21"/>
          <w:rFonts w:ascii="Palatino Linotype" w:hAnsi="Palatino Linotype" w:cs="Palatino Linotype"/>
        </w:rPr>
        <w:t>El profesor registra el resultado de cada alumno en una cuadrícula —la tabla de la rúbrica con las celdas de descriptor pinchables, un clic por dimensión, o la banda de cada componente en las dimensiones con matriz— y la aplicación calcula la nota con el modelo de §5.3 a cada clic, en una barra fija. El resultado se guarda en el propio navegador, separado por curso, tipo de tarea y actividad, y se puede recargar, corregir y borrar. Al recomponerlo contra el instrumento vigente, una dimensión que el profesor haya desactivado después de calificar se omite en lugar de romper, y la nota se recalcula con lo que queda activo.</w:t>
      </w:r>
    </w:p>
    <w:p>
      <w:pPr>
        <w:keepNext/>
        <w:spacing w:before="260" w:after="60"/>
      </w:pPr>
      <w:r>
        <w:rPr>
          <w:b/>
          <w:i w:val="0"/>
          <w:color w:val="1C1F26"/>
          <w:sz w:val="23"/>
          <w:rFonts w:ascii="Palatino Linotype" w:hAnsi="Palatino Linotype" w:cs="Palatino Linotype"/>
        </w:rPr>
        <w:t>2.10 Exportaciones e interoperabilidad</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4706"/>
        <w:gridCol w:w="4706"/>
      </w:tblGrid>
      <w:tr>
        <w:tc>
          <w:tcPr>
            <w:tcW w:type="dxa" w:w="1928"/>
            <w:shd w:val="clear" w:fill="F4F2EE"/>
          </w:tcPr>
          <w:p>
            <w:pPr>
              <w:spacing w:before="60" w:after="60"/>
            </w:pPr>
            <w:r>
              <w:rPr>
                <w:b/>
                <w:i w:val="0"/>
                <w:color w:val="1C1F26"/>
                <w:sz w:val="18"/>
                <w:rFonts w:ascii="Palatino Linotype" w:hAnsi="Palatino Linotype" w:cs="Palatino Linotype"/>
              </w:rPr>
              <w:t>Formato</w:t>
            </w:r>
          </w:p>
        </w:tc>
        <w:tc>
          <w:tcPr>
            <w:tcW w:type="dxa" w:w="7483"/>
            <w:shd w:val="clear" w:fill="F4F2EE"/>
          </w:tcPr>
          <w:p>
            <w:pPr>
              <w:spacing w:before="60" w:after="60"/>
            </w:pPr>
            <w:r>
              <w:rPr>
                <w:b/>
                <w:i w:val="0"/>
                <w:color w:val="1C1F26"/>
                <w:sz w:val="18"/>
                <w:rFonts w:ascii="Palatino Linotype" w:hAnsi="Palatino Linotype" w:cs="Palatino Linotype"/>
              </w:rPr>
              <w:t>Contenido</w:t>
            </w:r>
          </w:p>
        </w:tc>
      </w:tr>
      <w:tr>
        <w:tc>
          <w:tcPr>
            <w:tcW w:type="dxa" w:w="1928"/>
          </w:tcPr>
          <w:p>
            <w:pPr>
              <w:spacing w:before="60" w:after="60"/>
            </w:pPr>
            <w:r>
              <w:rPr>
                <w:b w:val="0"/>
                <w:i w:val="0"/>
                <w:color w:val="1C1F26"/>
                <w:sz w:val="18"/>
                <w:rFonts w:ascii="Palatino Linotype" w:hAnsi="Palatino Linotype" w:cs="Palatino Linotype"/>
              </w:rPr>
              <w:t>Impresión y PDF</w:t>
            </w:r>
          </w:p>
        </w:tc>
        <w:tc>
          <w:tcPr>
            <w:tcW w:type="dxa" w:w="7483"/>
          </w:tcPr>
          <w:p>
            <w:pPr>
              <w:spacing w:before="60" w:after="60"/>
            </w:pPr>
            <w:r>
              <w:rPr>
                <w:b w:val="0"/>
                <w:i w:val="0"/>
                <w:color w:val="1C1F26"/>
                <w:sz w:val="18"/>
                <w:rFonts w:ascii="Palatino Linotype" w:hAnsi="Palatino Linotype" w:cs="Palatino Linotype"/>
              </w:rPr>
              <w:t>Vía hoja de estilo de impresión propia, en A4 y sin cortes de tabla a mitad de fila. Aplicable a todos los instrumentos y muy especialmente a la hoja del alumno.</w:t>
            </w:r>
          </w:p>
        </w:tc>
      </w:tr>
      <w:tr>
        <w:tc>
          <w:tcPr>
            <w:tcW w:type="dxa" w:w="1928"/>
          </w:tcPr>
          <w:p>
            <w:pPr>
              <w:spacing w:before="60" w:after="60"/>
            </w:pPr>
            <w:r>
              <w:rPr>
                <w:b w:val="0"/>
                <w:i w:val="0"/>
                <w:color w:val="1C1F26"/>
                <w:sz w:val="18"/>
                <w:rFonts w:ascii="Palatino Linotype" w:hAnsi="Palatino Linotype" w:cs="Palatino Linotype"/>
              </w:rPr>
              <w:t>CSV de notas</w:t>
            </w:r>
          </w:p>
        </w:tc>
        <w:tc>
          <w:tcPr>
            <w:tcW w:type="dxa" w:w="7483"/>
          </w:tcPr>
          <w:p>
            <w:pPr>
              <w:spacing w:before="60" w:after="60"/>
            </w:pPr>
            <w:r>
              <w:rPr>
                <w:b w:val="0"/>
                <w:i w:val="0"/>
                <w:color w:val="1C1F26"/>
                <w:sz w:val="18"/>
                <w:rFonts w:ascii="Palatino Linotype" w:hAnsi="Palatino Linotype" w:cs="Palatino Linotype"/>
              </w:rPr>
              <w:t>Alumno y nota final del instrumento activo, para el asistente general de importación de un cuaderno del profesor de uso extendido. Las celdas se citan conforme a RFC 4180, porque los alumnos se escriben «Apellidos, Nombre» y casi toda la primera columna lleva una coma dentro del propio dato.</w:t>
            </w:r>
          </w:p>
        </w:tc>
      </w:tr>
      <w:tr>
        <w:tc>
          <w:tcPr>
            <w:tcW w:type="dxa" w:w="1928"/>
          </w:tcPr>
          <w:p>
            <w:pPr>
              <w:spacing w:before="60" w:after="60"/>
            </w:pPr>
            <w:r>
              <w:rPr>
                <w:b w:val="0"/>
                <w:i w:val="0"/>
                <w:color w:val="1C1F26"/>
                <w:sz w:val="18"/>
                <w:rFonts w:ascii="Palatino Linotype" w:hAnsi="Palatino Linotype" w:cs="Palatino Linotype"/>
              </w:rPr>
              <w:t>CSV de rúbrica</w:t>
            </w:r>
          </w:p>
        </w:tc>
        <w:tc>
          <w:tcPr>
            <w:tcW w:type="dxa" w:w="7483"/>
          </w:tcPr>
          <w:p>
            <w:pPr>
              <w:spacing w:before="60" w:after="60"/>
            </w:pPr>
            <w:r>
              <w:rPr>
                <w:b w:val="0"/>
                <w:i w:val="0"/>
                <w:color w:val="1C1F26"/>
                <w:sz w:val="18"/>
                <w:rFonts w:ascii="Palatino Linotype" w:hAnsi="Palatino Linotype" w:cs="Palatino Linotype"/>
              </w:rPr>
              <w:t>La matriz en blanco —criterios × niveles, con el peso de cada fila y el valor de cada nivel— en el formato del importador de rúbricas del mismo cuaderno.</w:t>
            </w:r>
          </w:p>
        </w:tc>
      </w:tr>
    </w:tbl>
    <w:p>
      <w:pPr>
        <w:spacing w:after="0"/>
      </w:pPr>
    </w:p>
    <w:p>
      <w:pPr>
        <w:jc w:val="both"/>
      </w:pPr>
      <w:r>
        <w:rPr>
          <w:b w:val="0"/>
          <w:i w:val="0"/>
          <w:color w:val="1C1F26"/>
          <w:sz w:val="21"/>
          <w:rFonts w:ascii="Palatino Linotype" w:hAnsi="Palatino Linotype" w:cs="Palatino Linotype"/>
        </w:rPr>
        <w:t xml:space="preserve">Las dos exportaciones son </w:t>
      </w:r>
      <w:r>
        <w:rPr>
          <w:b/>
          <w:i w:val="0"/>
          <w:color w:val="1C1F26"/>
          <w:sz w:val="21"/>
          <w:rFonts w:ascii="Palatino Linotype" w:hAnsi="Palatino Linotype" w:cs="Palatino Linotype"/>
        </w:rPr>
        <w:t>caminos alternativos, no complementarios</w:t>
      </w:r>
      <w:r>
        <w:rPr>
          <w:b w:val="0"/>
          <w:i w:val="0"/>
          <w:color w:val="1C1F26"/>
          <w:sz w:val="21"/>
          <w:rFonts w:ascii="Palatino Linotype" w:hAnsi="Palatino Linotype" w:cs="Palatino Linotype"/>
        </w:rPr>
        <w:t>, y el docente elige por instrumento: o califica aquí y lleva el número, o importa la rúbrica en blanco y califica allí. Ninguna de las dos necesita una librería binaria externa, lo que conserva la propiedad de que el motor sea íntegramente local.</w:t>
      </w:r>
    </w:p>
    <w:p>
      <w:pPr>
        <w:keepNext/>
        <w:spacing w:before="260" w:after="60"/>
      </w:pPr>
      <w:r>
        <w:rPr>
          <w:b/>
          <w:i w:val="0"/>
          <w:color w:val="1C1F26"/>
          <w:sz w:val="23"/>
          <w:rFonts w:ascii="Palatino Linotype" w:hAnsi="Palatino Linotype" w:cs="Palatino Linotype"/>
        </w:rPr>
        <w:t>2.11 Instalación y funcionamiento sin conexión</w:t>
      </w:r>
    </w:p>
    <w:p>
      <w:pPr>
        <w:jc w:val="both"/>
      </w:pPr>
      <w:r>
        <w:rPr>
          <w:b w:val="0"/>
          <w:i w:val="0"/>
          <w:color w:val="1C1F26"/>
          <w:sz w:val="21"/>
          <w:rFonts w:ascii="Palatino Linotype" w:hAnsi="Palatino Linotype" w:cs="Palatino Linotype"/>
        </w:rPr>
        <w:t xml:space="preserve">La obra se instala en el navegador como aplicación web progresiva —en iPad, en Android y en escritorio— con su manifiesto, su juego completo de iconos generados por el propio repositorio y un trabajador de servicio que cachea el armazón. Una vez instalada sigue generando instrumentos </w:t>
      </w:r>
      <w:r>
        <w:rPr>
          <w:b/>
          <w:i w:val="0"/>
          <w:color w:val="1C1F26"/>
          <w:sz w:val="21"/>
          <w:rFonts w:ascii="Palatino Linotype" w:hAnsi="Palatino Linotype" w:cs="Palatino Linotype"/>
        </w:rPr>
        <w:t>sin conexión</w:t>
      </w:r>
      <w:r>
        <w:rPr>
          <w:b w:val="0"/>
          <w:i w:val="0"/>
          <w:color w:val="1C1F26"/>
          <w:sz w:val="21"/>
          <w:rFonts w:ascii="Palatino Linotype" w:hAnsi="Palatino Linotype" w:cs="Palatino Linotype"/>
        </w:rPr>
        <w:t>, que es la condición real del aula.</w:t>
      </w:r>
    </w:p>
    <w:p>
      <w:pPr>
        <w:keepNext/>
        <w:spacing w:before="260" w:after="60"/>
      </w:pPr>
      <w:r>
        <w:rPr>
          <w:b/>
          <w:i w:val="0"/>
          <w:color w:val="1C1F26"/>
          <w:sz w:val="23"/>
          <w:rFonts w:ascii="Palatino Linotype" w:hAnsi="Palatino Linotype" w:cs="Palatino Linotype"/>
        </w:rPr>
        <w:t>2.12 Estado de desarrollo</w:t>
      </w:r>
    </w:p>
    <w:p>
      <w:pPr>
        <w:jc w:val="both"/>
      </w:pPr>
      <w:r>
        <w:rPr>
          <w:b w:val="0"/>
          <w:i w:val="0"/>
          <w:color w:val="1C1F26"/>
          <w:sz w:val="21"/>
          <w:rFonts w:ascii="Palatino Linotype" w:hAnsi="Palatino Linotype" w:cs="Palatino Linotype"/>
        </w:rPr>
        <w:t>Se hace constar, por fidelidad descriptiva, qué está especificado en el diseño y todavía no construido a la fecha de esta memoria. Nada de lo que sigue afecta al funcionamiento de lo descrito en los apartados anteriores:</w:t>
      </w:r>
    </w:p>
    <w:p>
      <w:pPr>
        <w:pStyle w:val="ListBullet"/>
        <w:spacing w:after="60"/>
        <w:jc w:val="both"/>
      </w:pPr>
      <w:r>
        <w:rPr>
          <w:b w:val="0"/>
          <w:i w:val="0"/>
          <w:color w:val="1C1F26"/>
          <w:sz w:val="21"/>
          <w:rFonts w:ascii="Palatino Linotype" w:hAnsi="Palatino Linotype" w:cs="Palatino Linotype"/>
        </w:rPr>
        <w:t>El guion de presentación en clase que acompaña a la hoja del alumno está especificado y pendiente de renderizar.</w:t>
      </w:r>
    </w:p>
    <w:p>
      <w:pPr>
        <w:pStyle w:val="ListBullet"/>
        <w:spacing w:after="60"/>
        <w:jc w:val="both"/>
      </w:pPr>
      <w:r>
        <w:rPr>
          <w:b w:val="0"/>
          <w:i w:val="0"/>
          <w:color w:val="1C1F26"/>
          <w:sz w:val="21"/>
          <w:rFonts w:ascii="Palatino Linotype" w:hAnsi="Palatino Linotype" w:cs="Palatino Linotype"/>
        </w:rPr>
        <w:t>Del modo avanzado están construidos los pesos libres y la selección de dimensiones por bloque; quedan la profundidad, los criterios obligatorios, la elección de instrumentos y la edición manual de descriptores con el validador activo.</w:t>
      </w:r>
    </w:p>
    <w:p>
      <w:pPr>
        <w:pStyle w:val="ListBullet"/>
        <w:spacing w:after="60"/>
        <w:jc w:val="both"/>
      </w:pPr>
      <w:r>
        <w:rPr>
          <w:b w:val="0"/>
          <w:i w:val="0"/>
          <w:color w:val="1C1F26"/>
          <w:sz w:val="21"/>
          <w:rFonts w:ascii="Palatino Linotype" w:hAnsi="Palatino Linotype" w:cs="Palatino Linotype"/>
        </w:rPr>
        <w:t>La rúbrica en modo asistido —octavo instrumento del catálogo— está especificada con su matriz operativa y su protocolo de uso; falta la exportación del texto plano.</w:t>
      </w:r>
    </w:p>
    <w:p>
      <w:pPr>
        <w:pStyle w:val="ListBullet"/>
        <w:spacing w:after="60"/>
        <w:jc w:val="both"/>
      </w:pPr>
      <w:r>
        <w:rPr>
          <w:b w:val="0"/>
          <w:i w:val="0"/>
          <w:color w:val="1C1F26"/>
          <w:sz w:val="21"/>
          <w:rFonts w:ascii="Palatino Linotype" w:hAnsi="Palatino Linotype" w:cs="Palatino Linotype"/>
        </w:rPr>
        <w:t>La exportación de la configuración completa en JSON, para compartirla con un compañero de departamento.</w:t>
      </w:r>
    </w:p>
    <w:p>
      <w:r>
        <w:br w:type="page"/>
      </w:r>
    </w:p>
    <w:p>
      <w:pPr>
        <w:keepNext/>
        <w:spacing w:before="440" w:after="120"/>
      </w:pPr>
      <w:r>
        <w:rPr>
          <w:b/>
          <w:i w:val="0"/>
          <w:color w:val="7A3B2E"/>
          <w:sz w:val="30"/>
          <w:rFonts w:ascii="Palatino Linotype" w:hAnsi="Palatino Linotype" w:cs="Palatino Linotype"/>
        </w:rPr>
        <w:t>3. ARQUITECTURA</w:t>
      </w:r>
    </w:p>
    <w:p>
      <w:pPr>
        <w:keepNext/>
        <w:spacing w:before="260" w:after="60"/>
      </w:pPr>
      <w:r>
        <w:rPr>
          <w:b/>
          <w:i w:val="0"/>
          <w:color w:val="1C1F26"/>
          <w:sz w:val="23"/>
          <w:rFonts w:ascii="Palatino Linotype" w:hAnsi="Palatino Linotype" w:cs="Palatino Linotype"/>
        </w:rPr>
        <w:t>3.1 Modelo arquitectónico</w:t>
      </w:r>
    </w:p>
    <w:p>
      <w:pPr>
        <w:jc w:val="both"/>
      </w:pPr>
      <w:r>
        <w:rPr>
          <w:b w:val="0"/>
          <w:i w:val="0"/>
          <w:color w:val="1C1F26"/>
          <w:sz w:val="21"/>
          <w:rFonts w:ascii="Palatino Linotype" w:hAnsi="Palatino Linotype" w:cs="Palatino Linotype"/>
        </w:rPr>
        <w:t xml:space="preserve">La obra es un </w:t>
      </w:r>
      <w:r>
        <w:rPr>
          <w:b/>
          <w:i w:val="0"/>
          <w:color w:val="1C1F26"/>
          <w:sz w:val="21"/>
          <w:rFonts w:ascii="Palatino Linotype" w:hAnsi="Palatino Linotype" w:cs="Palatino Linotype"/>
        </w:rPr>
        <w:t>sitio estático</w:t>
      </w:r>
      <w:r>
        <w:rPr>
          <w:b w:val="0"/>
          <w:i w:val="0"/>
          <w:color w:val="1C1F26"/>
          <w:sz w:val="21"/>
          <w:rFonts w:ascii="Palatino Linotype" w:hAnsi="Palatino Linotype" w:cs="Palatino Linotype"/>
        </w:rPr>
        <w:t>: no tiene servidor, no tiene base de datos remota, no tiene proceso de construcción y no realiza ninguna petición de red en tiempo de ejecución más allá de cargar sus propios archivos. Esa no es una limitación asumida por comodidad, sino una consecuencia directa de lo que la obra maneja: rúbricas y calificaciones de menores de edad. Lo que no sale del navegador no se puede perder.</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4706"/>
        <w:gridCol w:w="4706"/>
      </w:tblGrid>
      <w:tr>
        <w:tc>
          <w:tcPr>
            <w:tcW w:type="dxa" w:w="1701"/>
            <w:shd w:val="clear" w:fill="F4F2EE"/>
          </w:tcPr>
          <w:p>
            <w:pPr>
              <w:spacing w:before="60" w:after="60"/>
            </w:pPr>
            <w:r>
              <w:rPr>
                <w:b/>
                <w:i w:val="0"/>
                <w:color w:val="1C1F26"/>
                <w:sz w:val="18"/>
                <w:rFonts w:ascii="Palatino Linotype" w:hAnsi="Palatino Linotype" w:cs="Palatino Linotype"/>
              </w:rPr>
              <w:t>Capa</w:t>
            </w:r>
          </w:p>
        </w:tc>
        <w:tc>
          <w:tcPr>
            <w:tcW w:type="dxa" w:w="7710"/>
            <w:shd w:val="clear" w:fill="F4F2EE"/>
          </w:tcPr>
          <w:p>
            <w:pPr>
              <w:spacing w:before="60" w:after="60"/>
            </w:pPr>
            <w:r>
              <w:rPr>
                <w:b/>
                <w:i w:val="0"/>
                <w:color w:val="1C1F26"/>
                <w:sz w:val="18"/>
                <w:rFonts w:ascii="Palatino Linotype" w:hAnsi="Palatino Linotype" w:cs="Palatino Linotype"/>
              </w:rPr>
              <w:t>Tecnología y función</w:t>
            </w:r>
          </w:p>
        </w:tc>
      </w:tr>
      <w:tr>
        <w:tc>
          <w:tcPr>
            <w:tcW w:type="dxa" w:w="1701"/>
          </w:tcPr>
          <w:p>
            <w:pPr>
              <w:spacing w:before="60" w:after="60"/>
            </w:pPr>
            <w:r>
              <w:rPr>
                <w:b w:val="0"/>
                <w:i w:val="0"/>
                <w:color w:val="1C1F26"/>
                <w:sz w:val="18"/>
                <w:rFonts w:ascii="Palatino Linotype" w:hAnsi="Palatino Linotype" w:cs="Palatino Linotype"/>
              </w:rPr>
              <w:t>Interfaz</w:t>
            </w:r>
          </w:p>
        </w:tc>
        <w:tc>
          <w:tcPr>
            <w:tcW w:type="dxa" w:w="7710"/>
          </w:tcPr>
          <w:p>
            <w:pPr>
              <w:spacing w:before="60" w:after="60"/>
            </w:pPr>
            <w:r>
              <w:rPr>
                <w:b w:val="0"/>
                <w:i w:val="0"/>
                <w:color w:val="1C1F26"/>
                <w:sz w:val="18"/>
                <w:rFonts w:ascii="Palatino Linotype" w:hAnsi="Palatino Linotype" w:cs="Palatino Linotype"/>
              </w:rPr>
              <w:t>HTML5 y CSS3. Un documento de pantallas, un sistema de estilos y una hoja de impresión propia para el papel que se reparte en clase.</w:t>
            </w:r>
          </w:p>
        </w:tc>
      </w:tr>
      <w:tr>
        <w:tc>
          <w:tcPr>
            <w:tcW w:type="dxa" w:w="1701"/>
          </w:tcPr>
          <w:p>
            <w:pPr>
              <w:spacing w:before="60" w:after="60"/>
            </w:pPr>
            <w:r>
              <w:rPr>
                <w:b w:val="0"/>
                <w:i w:val="0"/>
                <w:color w:val="1C1F26"/>
                <w:sz w:val="18"/>
                <w:rFonts w:ascii="Palatino Linotype" w:hAnsi="Palatino Linotype" w:cs="Palatino Linotype"/>
              </w:rPr>
              <w:t>Lógica</w:t>
            </w:r>
          </w:p>
        </w:tc>
        <w:tc>
          <w:tcPr>
            <w:tcW w:type="dxa" w:w="7710"/>
          </w:tcPr>
          <w:p>
            <w:pPr>
              <w:spacing w:before="60" w:after="60"/>
            </w:pPr>
            <w:r>
              <w:rPr>
                <w:b w:val="0"/>
                <w:i w:val="0"/>
                <w:color w:val="1C1F26"/>
                <w:sz w:val="18"/>
                <w:rFonts w:ascii="Palatino Linotype" w:hAnsi="Palatino Linotype" w:cs="Palatino Linotype"/>
              </w:rPr>
              <w:t>JavaScript con módulos ES nativos (4.153 líneas): motor de generación, modelo de calificación, validador de calidad, catálogo de microexplicaciones, modo avanzado, pantalla de calificar y exportadores.</w:t>
            </w:r>
          </w:p>
        </w:tc>
      </w:tr>
      <w:tr>
        <w:tc>
          <w:tcPr>
            <w:tcW w:type="dxa" w:w="1701"/>
          </w:tcPr>
          <w:p>
            <w:pPr>
              <w:spacing w:before="60" w:after="60"/>
            </w:pPr>
            <w:r>
              <w:rPr>
                <w:b w:val="0"/>
                <w:i w:val="0"/>
                <w:color w:val="1C1F26"/>
                <w:sz w:val="18"/>
                <w:rFonts w:ascii="Palatino Linotype" w:hAnsi="Palatino Linotype" w:cs="Palatino Linotype"/>
              </w:rPr>
              <w:t>Datos</w:t>
            </w:r>
          </w:p>
        </w:tc>
        <w:tc>
          <w:tcPr>
            <w:tcW w:type="dxa" w:w="7710"/>
          </w:tcPr>
          <w:p>
            <w:pPr>
              <w:spacing w:before="60" w:after="60"/>
            </w:pPr>
            <w:r>
              <w:rPr>
                <w:b w:val="0"/>
                <w:i w:val="0"/>
                <w:color w:val="1C1F26"/>
                <w:sz w:val="18"/>
                <w:rFonts w:ascii="Palatino Linotype" w:hAnsi="Palatino Linotype" w:cs="Palatino Linotype"/>
              </w:rPr>
              <w:t>Archivos JSON versionados en el propio repositorio (32.386 líneas): packs de criterios, catálogo, tablas de derivación por materia, léxico de reglas, banco de verbos y esquema de pack.</w:t>
            </w:r>
          </w:p>
        </w:tc>
      </w:tr>
      <w:tr>
        <w:tc>
          <w:tcPr>
            <w:tcW w:type="dxa" w:w="1701"/>
          </w:tcPr>
          <w:p>
            <w:pPr>
              <w:spacing w:before="60" w:after="60"/>
            </w:pPr>
            <w:r>
              <w:rPr>
                <w:b w:val="0"/>
                <w:i w:val="0"/>
                <w:color w:val="1C1F26"/>
                <w:sz w:val="18"/>
                <w:rFonts w:ascii="Palatino Linotype" w:hAnsi="Palatino Linotype" w:cs="Palatino Linotype"/>
              </w:rPr>
              <w:t>Herramientas</w:t>
            </w:r>
          </w:p>
        </w:tc>
        <w:tc>
          <w:tcPr>
            <w:tcW w:type="dxa" w:w="7710"/>
          </w:tcPr>
          <w:p>
            <w:pPr>
              <w:spacing w:before="60" w:after="60"/>
            </w:pPr>
            <w:r>
              <w:rPr>
                <w:b w:val="0"/>
                <w:i w:val="0"/>
                <w:color w:val="1C1F26"/>
                <w:sz w:val="18"/>
                <w:rFonts w:ascii="Palatino Linotype" w:hAnsi="Palatino Linotype" w:cs="Palatino Linotype"/>
              </w:rPr>
              <w:t>Programas en Python (6.465 líneas) que construyen los derivados, validan el contenido y verifican mecánicamente la derivación normativa. No forman parte de lo que se sirve al navegador, pero sí de la obra.</w:t>
            </w:r>
          </w:p>
        </w:tc>
      </w:tr>
      <w:tr>
        <w:tc>
          <w:tcPr>
            <w:tcW w:type="dxa" w:w="1701"/>
          </w:tcPr>
          <w:p>
            <w:pPr>
              <w:spacing w:before="60" w:after="60"/>
            </w:pPr>
            <w:r>
              <w:rPr>
                <w:b w:val="0"/>
                <w:i w:val="0"/>
                <w:color w:val="1C1F26"/>
                <w:sz w:val="18"/>
                <w:rFonts w:ascii="Palatino Linotype" w:hAnsi="Palatino Linotype" w:cs="Palatino Linotype"/>
              </w:rPr>
              <w:t>Pruebas</w:t>
            </w:r>
          </w:p>
        </w:tc>
        <w:tc>
          <w:tcPr>
            <w:tcW w:type="dxa" w:w="7710"/>
          </w:tcPr>
          <w:p>
            <w:pPr>
              <w:spacing w:before="60" w:after="60"/>
            </w:pPr>
            <w:r>
              <w:rPr>
                <w:b w:val="0"/>
                <w:i w:val="0"/>
                <w:color w:val="1C1F26"/>
                <w:sz w:val="18"/>
                <w:rFonts w:ascii="Palatino Linotype" w:hAnsi="Palatino Linotype" w:cs="Palatino Linotype"/>
              </w:rPr>
              <w:t>Casos dorados en Node sin dependencias (2.067 líneas): validador, premarcado, proyección a primera persona y modelo de calificación.</w:t>
            </w:r>
          </w:p>
        </w:tc>
      </w:tr>
    </w:tbl>
    <w:p>
      <w:pPr>
        <w:spacing w:after="0"/>
      </w:pPr>
    </w:p>
    <w:p>
      <w:pPr>
        <w:keepNext/>
        <w:spacing w:before="260" w:after="60"/>
      </w:pPr>
      <w:r>
        <w:rPr>
          <w:b/>
          <w:i w:val="0"/>
          <w:color w:val="1C1F26"/>
          <w:sz w:val="23"/>
          <w:rFonts w:ascii="Palatino Linotype" w:hAnsi="Palatino Linotype" w:cs="Palatino Linotype"/>
        </w:rPr>
        <w:t>3.2 Diagrama de arquitectura</w:t>
      </w:r>
    </w:p>
    <w:p>
      <w:pPr>
        <w:spacing w:after="0" w:line="240" w:lineRule="auto"/>
        <w:shd w:val="clear" w:fill="F7F6F3"/>
      </w:pPr>
      <w:r>
        <w:rPr>
          <w:b w:val="0"/>
          <w:i w:val="0"/>
          <w:color w:val="4A4F5A"/>
          <w:sz w:val="15"/>
          <w:rFonts w:ascii="Consolas" w:hAnsi="Consolas" w:cs="Consolas"/>
        </w:rPr>
        <w:t>┌────────────────────────────────────────────────────────────────────┐</w:t>
      </w:r>
    </w:p>
    <w:p>
      <w:pPr>
        <w:spacing w:after="0" w:line="240" w:lineRule="auto"/>
        <w:shd w:val="clear" w:fill="F7F6F3"/>
      </w:pPr>
      <w:r>
        <w:rPr>
          <w:b w:val="0"/>
          <w:i w:val="0"/>
          <w:color w:val="4A4F5A"/>
          <w:sz w:val="15"/>
          <w:rFonts w:ascii="Consolas" w:hAnsi="Consolas" w:cs="Consolas"/>
        </w:rPr>
        <w:t>│  DOCENTE — navegador en ordenador, tableta o iPad                  │</w:t>
      </w:r>
    </w:p>
    <w:p>
      <w:pPr>
        <w:spacing w:after="0" w:line="240" w:lineRule="auto"/>
        <w:shd w:val="clear" w:fill="F7F6F3"/>
      </w:pPr>
      <w:r>
        <w:rPr>
          <w:b w:val="0"/>
          <w:i w:val="0"/>
          <w:color w:val="4A4F5A"/>
          <w:sz w:val="15"/>
          <w:rFonts w:ascii="Consolas" w:hAnsi="Consolas" w:cs="Consolas"/>
        </w:rPr>
        <w:t>│  Instalable como aplicación · funciona sin conexión                │</w:t>
      </w:r>
    </w:p>
    <w:p>
      <w:pPr>
        <w:spacing w:after="0" w:line="240" w:lineRule="auto"/>
        <w:shd w:val="clear" w:fill="F7F6F3"/>
      </w:pPr>
      <w:r>
        <w:rPr>
          <w:b w:val="0"/>
          <w:i w:val="0"/>
          <w:color w:val="4A4F5A"/>
          <w:sz w:val="15"/>
          <w:rFonts w:ascii="Consolas" w:hAnsi="Consolas" w:cs="Consolas"/>
        </w:rPr>
        <w:t>└─────────────────────────────┬──────────────────────────────────────┘</w:t>
      </w:r>
    </w:p>
    <w:p>
      <w:pPr>
        <w:spacing w:after="0" w:line="240" w:lineRule="auto"/>
        <w:shd w:val="clear" w:fill="F7F6F3"/>
      </w:pPr>
      <w:r>
        <w:rPr>
          <w:b w:val="0"/>
          <w:i w:val="0"/>
          <w:color w:val="4A4F5A"/>
          <w:sz w:val="15"/>
          <w:rFonts w:ascii="Consolas" w:hAnsi="Consolas" w:cs="Consolas"/>
        </w:rPr>
        <w:t xml:space="preserve">                              │  sin red, sin cuentas, sin datos personales</w:t>
      </w:r>
    </w:p>
    <w:p>
      <w:pPr>
        <w:spacing w:after="0" w:line="240" w:lineRule="auto"/>
        <w:shd w:val="clear" w:fill="F7F6F3"/>
      </w:pPr>
      <w:r>
        <w:rPr>
          <w:b w:val="0"/>
          <w:i w:val="0"/>
          <w:color w:val="4A4F5A"/>
          <w:sz w:val="15"/>
          <w:rFonts w:ascii="Consolas" w:hAnsi="Consolas" w:cs="Consolas"/>
        </w:rPr>
        <w:t xml:space="preserve">                              ▼</w:t>
      </w:r>
    </w:p>
    <w:p>
      <w:pPr>
        <w:spacing w:after="0" w:line="240" w:lineRule="auto"/>
        <w:shd w:val="clear" w:fill="F7F6F3"/>
      </w:pPr>
      <w:r>
        <w:rPr>
          <w:b w:val="0"/>
          <w:i w:val="0"/>
          <w:color w:val="4A4F5A"/>
          <w:sz w:val="15"/>
          <w:rFonts w:ascii="Consolas" w:hAnsi="Consolas" w:cs="Consolas"/>
        </w:rPr>
        <w:t>┌────────────────────────────────────────────────────────────────────┐</w:t>
      </w:r>
    </w:p>
    <w:p>
      <w:pPr>
        <w:spacing w:after="0" w:line="240" w:lineRule="auto"/>
        <w:shd w:val="clear" w:fill="F7F6F3"/>
      </w:pPr>
      <w:r>
        <w:rPr>
          <w:b w:val="0"/>
          <w:i w:val="0"/>
          <w:color w:val="4A4F5A"/>
          <w:sz w:val="15"/>
          <w:rFonts w:ascii="Consolas" w:hAnsi="Consolas" w:cs="Consolas"/>
        </w:rPr>
        <w:t>│  APLICACIÓN (js/) — módulos ES nativos, sin framework               │</w:t>
      </w:r>
    </w:p>
    <w:p>
      <w:pPr>
        <w:spacing w:after="0" w:line="240" w:lineRule="auto"/>
        <w:shd w:val="clear" w:fill="F7F6F3"/>
      </w:pPr>
      <w:r>
        <w:rPr>
          <w:b w:val="0"/>
          <w:i w:val="0"/>
          <w:color w:val="4A4F5A"/>
          <w:sz w:val="15"/>
          <w:rFonts w:ascii="Consolas" w:hAnsi="Consolas" w:cs="Consolas"/>
        </w:rPr>
        <w:t>│                                                                    │</w:t>
      </w:r>
    </w:p>
    <w:p>
      <w:pPr>
        <w:spacing w:after="0" w:line="240" w:lineRule="auto"/>
        <w:shd w:val="clear" w:fill="F7F6F3"/>
      </w:pPr>
      <w:r>
        <w:rPr>
          <w:b w:val="0"/>
          <w:i w:val="0"/>
          <w:color w:val="4A4F5A"/>
          <w:sz w:val="15"/>
          <w:rFonts w:ascii="Consolas" w:hAnsi="Consolas" w:cs="Consolas"/>
        </w:rPr>
        <w:t>│   motor.js .............. puerta de aplicabilidad, filtrado,       │</w:t>
      </w:r>
    </w:p>
    <w:p>
      <w:pPr>
        <w:spacing w:after="0" w:line="240" w:lineRule="auto"/>
        <w:shd w:val="clear" w:fill="F7F6F3"/>
      </w:pPr>
      <w:r>
        <w:rPr>
          <w:b w:val="0"/>
          <w:i w:val="0"/>
          <w:color w:val="4A4F5A"/>
          <w:sz w:val="15"/>
          <w:rFonts w:ascii="Consolas" w:hAnsi="Consolas" w:cs="Consolas"/>
        </w:rPr>
        <w:t>│                           premarcado, pesos, los 7 instrumentos    │</w:t>
      </w:r>
    </w:p>
    <w:p>
      <w:pPr>
        <w:spacing w:after="0" w:line="240" w:lineRule="auto"/>
        <w:shd w:val="clear" w:fill="F7F6F3"/>
      </w:pPr>
      <w:r>
        <w:rPr>
          <w:b w:val="0"/>
          <w:i w:val="0"/>
          <w:color w:val="4A4F5A"/>
          <w:sz w:val="15"/>
          <w:rFonts w:ascii="Consolas" w:hAnsi="Consolas" w:cs="Consolas"/>
        </w:rPr>
        <w:t>│   calificacion.js ....... modelo de cálculo (funciones puras)      │</w:t>
      </w:r>
    </w:p>
    <w:p>
      <w:pPr>
        <w:spacing w:after="0" w:line="240" w:lineRule="auto"/>
        <w:shd w:val="clear" w:fill="F7F6F3"/>
      </w:pPr>
      <w:r>
        <w:rPr>
          <w:b w:val="0"/>
          <w:i w:val="0"/>
          <w:color w:val="4A4F5A"/>
          <w:sz w:val="15"/>
          <w:rFonts w:ascii="Consolas" w:hAnsi="Consolas" w:cs="Consolas"/>
        </w:rPr>
        <w:t>│   calificar.js .......... registro por alumno y CSV de notas       │</w:t>
      </w:r>
    </w:p>
    <w:p>
      <w:pPr>
        <w:spacing w:after="0" w:line="240" w:lineRule="auto"/>
        <w:shd w:val="clear" w:fill="F7F6F3"/>
      </w:pPr>
      <w:r>
        <w:rPr>
          <w:b w:val="0"/>
          <w:i w:val="0"/>
          <w:color w:val="4A4F5A"/>
          <w:sz w:val="15"/>
          <w:rFonts w:ascii="Consolas" w:hAnsi="Consolas" w:cs="Consolas"/>
        </w:rPr>
        <w:t>│   validador.js .......... las reglas de calidad de descriptores    │</w:t>
      </w:r>
    </w:p>
    <w:p>
      <w:pPr>
        <w:spacing w:after="0" w:line="240" w:lineRule="auto"/>
        <w:shd w:val="clear" w:fill="F7F6F3"/>
      </w:pPr>
      <w:r>
        <w:rPr>
          <w:b w:val="0"/>
          <w:i w:val="0"/>
          <w:color w:val="4A4F5A"/>
          <w:sz w:val="15"/>
          <w:rFonts w:ascii="Consolas" w:hAnsi="Consolas" w:cs="Consolas"/>
        </w:rPr>
        <w:t>│   lexico.js ............. palabras y umbrales — GENERADO           │</w:t>
      </w:r>
    </w:p>
    <w:p>
      <w:pPr>
        <w:spacing w:after="0" w:line="240" w:lineRule="auto"/>
        <w:shd w:val="clear" w:fill="F7F6F3"/>
      </w:pPr>
      <w:r>
        <w:rPr>
          <w:b w:val="0"/>
          <w:i w:val="0"/>
          <w:color w:val="4A4F5A"/>
          <w:sz w:val="15"/>
          <w:rFonts w:ascii="Consolas" w:hAnsi="Consolas" w:cs="Consolas"/>
        </w:rPr>
        <w:t>│   microexplicaciones.js . el «¿por qué?» de cada control           │</w:t>
      </w:r>
    </w:p>
    <w:p>
      <w:pPr>
        <w:spacing w:after="0" w:line="240" w:lineRule="auto"/>
        <w:shd w:val="clear" w:fill="F7F6F3"/>
      </w:pPr>
      <w:r>
        <w:rPr>
          <w:b w:val="0"/>
          <w:i w:val="0"/>
          <w:color w:val="4A4F5A"/>
          <w:sz w:val="15"/>
          <w:rFonts w:ascii="Consolas" w:hAnsi="Consolas" w:cs="Consolas"/>
        </w:rPr>
        <w:t>│   ui.js · main.js ....... vista previa, pestañas, CSV de rúbrica   │</w:t>
      </w:r>
    </w:p>
    <w:p>
      <w:pPr>
        <w:spacing w:after="0" w:line="240" w:lineRule="auto"/>
        <w:shd w:val="clear" w:fill="F7F6F3"/>
      </w:pPr>
      <w:r>
        <w:rPr>
          <w:b w:val="0"/>
          <w:i w:val="0"/>
          <w:color w:val="4A4F5A"/>
          <w:sz w:val="15"/>
          <w:rFonts w:ascii="Consolas" w:hAnsi="Consolas" w:cs="Consolas"/>
        </w:rPr>
        <w:t>│   modo-avanzado.js ...... dimensiones y pesos                      │</w:t>
      </w:r>
    </w:p>
    <w:p>
      <w:pPr>
        <w:spacing w:after="0" w:line="240" w:lineRule="auto"/>
        <w:shd w:val="clear" w:fill="F7F6F3"/>
      </w:pPr>
      <w:r>
        <w:rPr>
          <w:b w:val="0"/>
          <w:i w:val="0"/>
          <w:color w:val="4A4F5A"/>
          <w:sz w:val="15"/>
          <w:rFonts w:ascii="Consolas" w:hAnsi="Consolas" w:cs="Consolas"/>
        </w:rPr>
        <w:t>│   csv.js · pwa.js · sw.js  exportación, instalación, sin conexión  │</w:t>
      </w:r>
    </w:p>
    <w:p>
      <w:pPr>
        <w:spacing w:after="0" w:line="240" w:lineRule="auto"/>
        <w:shd w:val="clear" w:fill="F7F6F3"/>
      </w:pPr>
      <w:r>
        <w:rPr>
          <w:b w:val="0"/>
          <w:i w:val="0"/>
          <w:color w:val="4A4F5A"/>
          <w:sz w:val="15"/>
          <w:rFonts w:ascii="Consolas" w:hAnsi="Consolas" w:cs="Consolas"/>
        </w:rPr>
        <w:t>└─────────────────────────────┬──────────────────────────────────────┘</w:t>
      </w:r>
    </w:p>
    <w:p>
      <w:pPr>
        <w:spacing w:after="0" w:line="240" w:lineRule="auto"/>
        <w:shd w:val="clear" w:fill="F7F6F3"/>
      </w:pPr>
      <w:r>
        <w:rPr>
          <w:b w:val="0"/>
          <w:i w:val="0"/>
          <w:color w:val="4A4F5A"/>
          <w:sz w:val="15"/>
          <w:rFonts w:ascii="Consolas" w:hAnsi="Consolas" w:cs="Consolas"/>
        </w:rPr>
        <w:t xml:space="preserve">                              │  fetch local de sus propios archivos</w:t>
      </w:r>
    </w:p>
    <w:p>
      <w:pPr>
        <w:spacing w:after="0" w:line="240" w:lineRule="auto"/>
        <w:shd w:val="clear" w:fill="F7F6F3"/>
      </w:pPr>
      <w:r>
        <w:rPr>
          <w:b w:val="0"/>
          <w:i w:val="0"/>
          <w:color w:val="4A4F5A"/>
          <w:sz w:val="15"/>
          <w:rFonts w:ascii="Consolas" w:hAnsi="Consolas" w:cs="Consolas"/>
        </w:rPr>
        <w:t xml:space="preserve">                              ▼</w:t>
      </w:r>
    </w:p>
    <w:p>
      <w:pPr>
        <w:spacing w:after="0" w:line="240" w:lineRule="auto"/>
        <w:shd w:val="clear" w:fill="F7F6F3"/>
      </w:pPr>
      <w:r>
        <w:rPr>
          <w:b w:val="0"/>
          <w:i w:val="0"/>
          <w:color w:val="4A4F5A"/>
          <w:sz w:val="15"/>
          <w:rFonts w:ascii="Consolas" w:hAnsi="Consolas" w:cs="Consolas"/>
        </w:rPr>
        <w:t>┌────────────────────────────────────────────────────────────────────┐</w:t>
      </w:r>
    </w:p>
    <w:p>
      <w:pPr>
        <w:spacing w:after="0" w:line="240" w:lineRule="auto"/>
        <w:shd w:val="clear" w:fill="F7F6F3"/>
      </w:pPr>
      <w:r>
        <w:rPr>
          <w:b w:val="0"/>
          <w:i w:val="0"/>
          <w:color w:val="4A4F5A"/>
          <w:sz w:val="15"/>
          <w:rFonts w:ascii="Consolas" w:hAnsi="Consolas" w:cs="Consolas"/>
        </w:rPr>
        <w:t>│  DATOS (data/) — la fuente de todo                                 │</w:t>
      </w:r>
    </w:p>
    <w:p>
      <w:pPr>
        <w:spacing w:after="0" w:line="240" w:lineRule="auto"/>
        <w:shd w:val="clear" w:fill="F7F6F3"/>
      </w:pPr>
      <w:r>
        <w:rPr>
          <w:b w:val="0"/>
          <w:i w:val="0"/>
          <w:color w:val="4A4F5A"/>
          <w:sz w:val="15"/>
          <w:rFonts w:ascii="Consolas" w:hAnsi="Consolas" w:cs="Consolas"/>
        </w:rPr>
        <w:t>│                                                                    │</w:t>
      </w:r>
    </w:p>
    <w:p>
      <w:pPr>
        <w:spacing w:after="0" w:line="240" w:lineRule="auto"/>
        <w:shd w:val="clear" w:fill="F7F6F3"/>
      </w:pPr>
      <w:r>
        <w:rPr>
          <w:b w:val="0"/>
          <w:i w:val="0"/>
          <w:color w:val="4A4F5A"/>
          <w:sz w:val="15"/>
          <w:rFonts w:ascii="Consolas" w:hAnsi="Consolas" w:cs="Consolas"/>
        </w:rPr>
        <w:t>│   pack-lcl-*.json ....... criterios, descriptores y matrices       │</w:t>
      </w:r>
    </w:p>
    <w:p>
      <w:pPr>
        <w:spacing w:after="0" w:line="240" w:lineRule="auto"/>
        <w:shd w:val="clear" w:fill="F7F6F3"/>
      </w:pPr>
      <w:r>
        <w:rPr>
          <w:b w:val="0"/>
          <w:i w:val="0"/>
          <w:color w:val="4A4F5A"/>
          <w:sz w:val="15"/>
          <w:rFonts w:ascii="Consolas" w:hAnsi="Consolas" w:cs="Consolas"/>
        </w:rPr>
        <w:t>│   catalogo.json ......... packs, materias, cursos, niveles         │</w:t>
      </w:r>
    </w:p>
    <w:p>
      <w:pPr>
        <w:spacing w:after="0" w:line="240" w:lineRule="auto"/>
        <w:shd w:val="clear" w:fill="F7F6F3"/>
      </w:pPr>
      <w:r>
        <w:rPr>
          <w:b w:val="0"/>
          <w:i w:val="0"/>
          <w:color w:val="4A4F5A"/>
          <w:sz w:val="15"/>
          <w:rFonts w:ascii="Consolas" w:hAnsi="Consolas" w:cs="Consolas"/>
        </w:rPr>
        <w:t>│   derivacion-lcl.json ... qué tarea sostiene el currículo y dónde  │</w:t>
      </w:r>
    </w:p>
    <w:p>
      <w:pPr>
        <w:spacing w:after="0" w:line="240" w:lineRule="auto"/>
        <w:shd w:val="clear" w:fill="F7F6F3"/>
      </w:pPr>
      <w:r>
        <w:rPr>
          <w:b w:val="0"/>
          <w:i w:val="0"/>
          <w:color w:val="4A4F5A"/>
          <w:sz w:val="15"/>
          <w:rFonts w:ascii="Consolas" w:hAnsi="Consolas" w:cs="Consolas"/>
        </w:rPr>
        <w:t>│   reglas-lexicas.json ... palabras y umbrales del validador        │</w:t>
      </w:r>
    </w:p>
    <w:p>
      <w:pPr>
        <w:spacing w:after="0" w:line="240" w:lineRule="auto"/>
        <w:shd w:val="clear" w:fill="F7F6F3"/>
      </w:pPr>
      <w:r>
        <w:rPr>
          <w:b w:val="0"/>
          <w:i w:val="0"/>
          <w:color w:val="4A4F5A"/>
          <w:sz w:val="15"/>
          <w:rFonts w:ascii="Consolas" w:hAnsi="Consolas" w:cs="Consolas"/>
        </w:rPr>
        <w:t>│   verbos.json ........... banco cerrado, 3.ª y 1.ª persona         │</w:t>
      </w:r>
    </w:p>
    <w:p>
      <w:pPr>
        <w:spacing w:after="0" w:line="240" w:lineRule="auto"/>
        <w:shd w:val="clear" w:fill="F7F6F3"/>
      </w:pPr>
      <w:r>
        <w:rPr>
          <w:b w:val="0"/>
          <w:i w:val="0"/>
          <w:color w:val="4A4F5A"/>
          <w:sz w:val="15"/>
          <w:rFonts w:ascii="Consolas" w:hAnsi="Consolas" w:cs="Consolas"/>
        </w:rPr>
        <w:t>│   esquema-pack.json ..... la forma que debe tener un pack          │</w:t>
      </w:r>
    </w:p>
    <w:p>
      <w:pPr>
        <w:spacing w:after="0" w:line="240" w:lineRule="auto"/>
        <w:shd w:val="clear" w:fill="F7F6F3"/>
      </w:pPr>
      <w:r>
        <w:rPr>
          <w:b w:val="0"/>
          <w:i w:val="0"/>
          <w:color w:val="4A4F5A"/>
          <w:sz w:val="15"/>
          <w:rFonts w:ascii="Consolas" w:hAnsi="Consolas" w:cs="Consolas"/>
        </w:rPr>
        <w:t>└─────────────────────────────┬──────────────────────────────────────┘</w:t>
      </w:r>
    </w:p>
    <w:p>
      <w:pPr>
        <w:spacing w:after="0" w:line="240" w:lineRule="auto"/>
        <w:shd w:val="clear" w:fill="F7F6F3"/>
      </w:pPr>
      <w:r>
        <w:rPr>
          <w:b w:val="0"/>
          <w:i w:val="0"/>
          <w:color w:val="4A4F5A"/>
          <w:sz w:val="15"/>
          <w:rFonts w:ascii="Consolas" w:hAnsi="Consolas" w:cs="Consolas"/>
        </w:rPr>
        <w:t xml:space="preserve">                              │  fuera del navegador: construcción y</w:t>
      </w:r>
    </w:p>
    <w:p>
      <w:pPr>
        <w:spacing w:after="0" w:line="240" w:lineRule="auto"/>
        <w:shd w:val="clear" w:fill="F7F6F3"/>
      </w:pPr>
      <w:r>
        <w:rPr>
          <w:b w:val="0"/>
          <w:i w:val="0"/>
          <w:color w:val="4A4F5A"/>
          <w:sz w:val="15"/>
          <w:rFonts w:ascii="Consolas" w:hAnsi="Consolas" w:cs="Consolas"/>
        </w:rPr>
        <w:t xml:space="preserve">                              │  comprobación del contenido</w:t>
      </w:r>
    </w:p>
    <w:p>
      <w:pPr>
        <w:spacing w:after="0" w:line="240" w:lineRule="auto"/>
        <w:shd w:val="clear" w:fill="F7F6F3"/>
      </w:pPr>
      <w:r>
        <w:rPr>
          <w:b w:val="0"/>
          <w:i w:val="0"/>
          <w:color w:val="4A4F5A"/>
          <w:sz w:val="15"/>
          <w:rFonts w:ascii="Consolas" w:hAnsi="Consolas" w:cs="Consolas"/>
        </w:rPr>
        <w:t xml:space="preserve">                              ▼</w:t>
      </w:r>
    </w:p>
    <w:p>
      <w:pPr>
        <w:spacing w:after="0" w:line="240" w:lineRule="auto"/>
        <w:shd w:val="clear" w:fill="F7F6F3"/>
      </w:pPr>
      <w:r>
        <w:rPr>
          <w:b w:val="0"/>
          <w:i w:val="0"/>
          <w:color w:val="4A4F5A"/>
          <w:sz w:val="15"/>
          <w:rFonts w:ascii="Consolas" w:hAnsi="Consolas" w:cs="Consolas"/>
        </w:rPr>
        <w:t>┌────────────────────────────────────────────────────────────────────┐</w:t>
      </w:r>
    </w:p>
    <w:p>
      <w:pPr>
        <w:spacing w:after="0" w:line="240" w:lineRule="auto"/>
        <w:shd w:val="clear" w:fill="F7F6F3"/>
      </w:pPr>
      <w:r>
        <w:rPr>
          <w:b w:val="0"/>
          <w:i w:val="0"/>
          <w:color w:val="4A4F5A"/>
          <w:sz w:val="15"/>
          <w:rFonts w:ascii="Consolas" w:hAnsi="Consolas" w:cs="Consolas"/>
        </w:rPr>
        <w:t>│  HERRAMIENTAS (scripts/) y PRUEBAS (test/)                         │</w:t>
      </w:r>
    </w:p>
    <w:p>
      <w:pPr>
        <w:spacing w:after="0" w:line="240" w:lineRule="auto"/>
        <w:shd w:val="clear" w:fill="F7F6F3"/>
      </w:pPr>
      <w:r>
        <w:rPr>
          <w:b w:val="0"/>
          <w:i w:val="0"/>
          <w:color w:val="4A4F5A"/>
          <w:sz w:val="15"/>
          <w:rFonts w:ascii="Consolas" w:hAnsi="Consolas" w:cs="Consolas"/>
        </w:rPr>
        <w:t>│   comprobar_todo.py ..... las comprobaciones que ejecuta el CI     │</w:t>
      </w:r>
    </w:p>
    <w:p>
      <w:pPr>
        <w:spacing w:after="0" w:line="240" w:lineRule="auto"/>
        <w:shd w:val="clear" w:fill="F7F6F3"/>
      </w:pPr>
      <w:r>
        <w:rPr>
          <w:b w:val="0"/>
          <w:i w:val="0"/>
          <w:color w:val="4A4F5A"/>
          <w:sz w:val="15"/>
          <w:rFonts w:ascii="Consolas" w:hAnsi="Consolas" w:cs="Consolas"/>
        </w:rPr>
        <w:t>│   validar_pack.py · comprobar_paridad.py                           │</w:t>
      </w:r>
    </w:p>
    <w:p>
      <w:pPr>
        <w:spacing w:after="0" w:line="240" w:lineRule="auto"/>
        <w:shd w:val="clear" w:fill="F7F6F3"/>
      </w:pPr>
      <w:r>
        <w:rPr>
          <w:b w:val="0"/>
          <w:i w:val="0"/>
          <w:color w:val="4A4F5A"/>
          <w:sz w:val="15"/>
          <w:rFonts w:ascii="Consolas" w:hAnsi="Consolas" w:cs="Consolas"/>
        </w:rPr>
        <w:t>│   verificar_derivacion.py  citas contra el currículo, con auto-    │</w:t>
      </w:r>
    </w:p>
    <w:p>
      <w:pPr>
        <w:spacing w:after="0" w:line="240" w:lineRule="auto"/>
        <w:shd w:val="clear" w:fill="F7F6F3"/>
      </w:pPr>
      <w:r>
        <w:rPr>
          <w:b w:val="0"/>
          <w:i w:val="0"/>
          <w:color w:val="4A4F5A"/>
          <w:sz w:val="15"/>
          <w:rFonts w:ascii="Consolas" w:hAnsi="Consolas" w:cs="Consolas"/>
        </w:rPr>
        <w:t>│                            prueba de que lo corrupto debe fallar   │</w:t>
      </w:r>
    </w:p>
    <w:p>
      <w:pPr>
        <w:spacing w:after="0" w:line="240" w:lineRule="auto"/>
        <w:shd w:val="clear" w:fill="F7F6F3"/>
      </w:pPr>
      <w:r>
        <w:rPr>
          <w:b w:val="0"/>
          <w:i w:val="0"/>
          <w:color w:val="4A4F5A"/>
          <w:sz w:val="15"/>
          <w:rFonts w:ascii="Consolas" w:hAnsi="Consolas" w:cs="Consolas"/>
        </w:rPr>
        <w:t>│   simular_correccion.py .. prueba de toda matriz cuantitativa      │</w:t>
      </w:r>
    </w:p>
    <w:p>
      <w:pPr>
        <w:spacing w:after="0" w:line="240" w:lineRule="auto"/>
        <w:shd w:val="clear" w:fill="F7F6F3"/>
      </w:pPr>
      <w:r>
        <w:rPr>
          <w:b w:val="0"/>
          <w:i w:val="0"/>
          <w:color w:val="4A4F5A"/>
          <w:sz w:val="15"/>
          <w:rFonts w:ascii="Consolas" w:hAnsi="Consolas" w:cs="Consolas"/>
        </w:rPr>
        <w:t>│   generar_lexico.py · generar_tablas_sdd.py · generar_revision.py  │</w:t>
      </w:r>
    </w:p>
    <w:p>
      <w:pPr>
        <w:spacing w:after="0" w:line="240" w:lineRule="auto"/>
        <w:shd w:val="clear" w:fill="F7F6F3"/>
      </w:pPr>
      <w:r>
        <w:rPr>
          <w:b w:val="0"/>
          <w:i w:val="0"/>
          <w:color w:val="4A4F5A"/>
          <w:sz w:val="15"/>
          <w:rFonts w:ascii="Consolas" w:hAnsi="Consolas" w:cs="Consolas"/>
        </w:rPr>
        <w:t>│   generar_manual.py · generar_iconos.py · ver.py                   │</w:t>
      </w:r>
    </w:p>
    <w:p>
      <w:pPr>
        <w:spacing w:after="160" w:line="240" w:lineRule="auto"/>
        <w:shd w:val="clear" w:fill="F7F6F3"/>
      </w:pPr>
      <w:r>
        <w:rPr>
          <w:b w:val="0"/>
          <w:i w:val="0"/>
          <w:color w:val="4A4F5A"/>
          <w:sz w:val="15"/>
          <w:rFonts w:ascii="Consolas" w:hAnsi="Consolas" w:cs="Consolas"/>
        </w:rPr>
        <w:t>└────────────────────────────────────────────────────────────────────┘</w:t>
      </w:r>
    </w:p>
    <w:p>
      <w:pPr>
        <w:keepNext/>
        <w:spacing w:before="260" w:after="60"/>
      </w:pPr>
      <w:r>
        <w:rPr>
          <w:b/>
          <w:i w:val="0"/>
          <w:color w:val="1C1F26"/>
          <w:sz w:val="23"/>
          <w:rFonts w:ascii="Palatino Linotype" w:hAnsi="Palatino Linotype" w:cs="Palatino Linotype"/>
        </w:rPr>
        <w:t>3.3 Volumen y organización</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3137"/>
        <w:gridCol w:w="3137"/>
        <w:gridCol w:w="3137"/>
      </w:tblGrid>
      <w:tr>
        <w:tc>
          <w:tcPr>
            <w:tcW w:type="dxa" w:w="4309"/>
            <w:shd w:val="clear" w:fill="F4F2EE"/>
          </w:tcPr>
          <w:p>
            <w:pPr>
              <w:spacing w:before="60" w:after="60"/>
            </w:pPr>
            <w:r>
              <w:rPr>
                <w:b/>
                <w:i w:val="0"/>
                <w:color w:val="1C1F26"/>
                <w:sz w:val="18"/>
                <w:rFonts w:ascii="Palatino Linotype" w:hAnsi="Palatino Linotype" w:cs="Palatino Linotype"/>
              </w:rPr>
              <w:t>Componente</w:t>
            </w:r>
          </w:p>
        </w:tc>
        <w:tc>
          <w:tcPr>
            <w:tcW w:type="dxa" w:w="1134"/>
            <w:shd w:val="clear" w:fill="F4F2EE"/>
          </w:tcPr>
          <w:p>
            <w:pPr>
              <w:spacing w:before="60" w:after="60"/>
              <w:jc w:val="center"/>
            </w:pPr>
            <w:r>
              <w:rPr>
                <w:b/>
                <w:i w:val="0"/>
                <w:color w:val="1C1F26"/>
                <w:sz w:val="18"/>
                <w:rFonts w:ascii="Palatino Linotype" w:hAnsi="Palatino Linotype" w:cs="Palatino Linotype"/>
              </w:rPr>
              <w:t>Líneas</w:t>
            </w:r>
          </w:p>
        </w:tc>
        <w:tc>
          <w:tcPr>
            <w:tcW w:type="dxa" w:w="3969"/>
            <w:shd w:val="clear" w:fill="F4F2EE"/>
          </w:tcPr>
          <w:p>
            <w:pPr>
              <w:spacing w:before="60" w:after="60"/>
              <w:jc w:val="center"/>
            </w:pPr>
            <w:r>
              <w:rPr>
                <w:b/>
                <w:i w:val="0"/>
                <w:color w:val="1C1F26"/>
                <w:sz w:val="18"/>
                <w:rFonts w:ascii="Palatino Linotype" w:hAnsi="Palatino Linotype" w:cs="Palatino Linotype"/>
              </w:rPr>
              <w:t>Nota</w:t>
            </w:r>
          </w:p>
        </w:tc>
      </w:tr>
      <w:tr>
        <w:tc>
          <w:tcPr>
            <w:tcW w:type="dxa" w:w="4309"/>
          </w:tcPr>
          <w:p>
            <w:pPr>
              <w:spacing w:before="60" w:after="60"/>
            </w:pPr>
            <w:r>
              <w:rPr>
                <w:b w:val="0"/>
                <w:i w:val="0"/>
                <w:color w:val="1C1F26"/>
                <w:sz w:val="18"/>
                <w:rFonts w:ascii="Palatino Linotype" w:hAnsi="Palatino Linotype" w:cs="Palatino Linotype"/>
              </w:rPr>
              <w:t>Lógica de la aplicación (JavaScript)</w:t>
            </w:r>
          </w:p>
        </w:tc>
        <w:tc>
          <w:tcPr>
            <w:tcW w:type="dxa" w:w="1134"/>
          </w:tcPr>
          <w:p>
            <w:pPr>
              <w:spacing w:before="60" w:after="60"/>
              <w:jc w:val="center"/>
            </w:pPr>
            <w:r>
              <w:rPr>
                <w:b w:val="0"/>
                <w:i w:val="0"/>
                <w:color w:val="1C1F26"/>
                <w:sz w:val="18"/>
                <w:rFonts w:ascii="Palatino Linotype" w:hAnsi="Palatino Linotype" w:cs="Palatino Linotype"/>
              </w:rPr>
              <w:t>4.153</w:t>
            </w:r>
          </w:p>
        </w:tc>
        <w:tc>
          <w:tcPr>
            <w:tcW w:type="dxa" w:w="3969"/>
          </w:tcPr>
          <w:p>
            <w:pPr>
              <w:spacing w:before="60" w:after="60"/>
              <w:jc w:val="center"/>
            </w:pPr>
            <w:r>
              <w:rPr>
                <w:b w:val="0"/>
                <w:i w:val="0"/>
                <w:color w:val="1C1F26"/>
                <w:sz w:val="18"/>
                <w:rFonts w:ascii="Palatino Linotype" w:hAnsi="Palatino Linotype" w:cs="Palatino Linotype"/>
              </w:rPr>
              <w:t>11 módulos ES nativos, sin empaquetador</w:t>
            </w:r>
          </w:p>
        </w:tc>
      </w:tr>
      <w:tr>
        <w:tc>
          <w:tcPr>
            <w:tcW w:type="dxa" w:w="4309"/>
          </w:tcPr>
          <w:p>
            <w:pPr>
              <w:spacing w:before="60" w:after="60"/>
            </w:pPr>
            <w:r>
              <w:rPr>
                <w:b w:val="0"/>
                <w:i w:val="0"/>
                <w:color w:val="1C1F26"/>
                <w:sz w:val="18"/>
                <w:rFonts w:ascii="Palatino Linotype" w:hAnsi="Palatino Linotype" w:cs="Palatino Linotype"/>
              </w:rPr>
              <w:t>Interfaz e instalación (HTML, service worker)</w:t>
            </w:r>
          </w:p>
        </w:tc>
        <w:tc>
          <w:tcPr>
            <w:tcW w:type="dxa" w:w="1134"/>
          </w:tcPr>
          <w:p>
            <w:pPr>
              <w:spacing w:before="60" w:after="60"/>
              <w:jc w:val="center"/>
            </w:pPr>
            <w:r>
              <w:rPr>
                <w:b w:val="0"/>
                <w:i w:val="0"/>
                <w:color w:val="1C1F26"/>
                <w:sz w:val="18"/>
                <w:rFonts w:ascii="Palatino Linotype" w:hAnsi="Palatino Linotype" w:cs="Palatino Linotype"/>
              </w:rPr>
              <w:t>226</w:t>
            </w:r>
          </w:p>
        </w:tc>
        <w:tc>
          <w:tcPr>
            <w:tcW w:type="dxa" w:w="3969"/>
          </w:tcPr>
          <w:p>
            <w:pPr>
              <w:spacing w:before="60" w:after="60"/>
              <w:jc w:val="center"/>
            </w:pPr>
            <w:r>
              <w:rPr>
                <w:b w:val="0"/>
                <w:i w:val="0"/>
                <w:color w:val="1C1F26"/>
                <w:sz w:val="18"/>
                <w:rFonts w:ascii="Palatino Linotype" w:hAnsi="Palatino Linotype" w:cs="Palatino Linotype"/>
              </w:rPr>
              <w:t>sitio estático instalable</w:t>
            </w:r>
          </w:p>
        </w:tc>
      </w:tr>
      <w:tr>
        <w:tc>
          <w:tcPr>
            <w:tcW w:type="dxa" w:w="4309"/>
          </w:tcPr>
          <w:p>
            <w:pPr>
              <w:spacing w:before="60" w:after="60"/>
            </w:pPr>
            <w:r>
              <w:rPr>
                <w:b w:val="0"/>
                <w:i w:val="0"/>
                <w:color w:val="1C1F26"/>
                <w:sz w:val="18"/>
                <w:rFonts w:ascii="Palatino Linotype" w:hAnsi="Palatino Linotype" w:cs="Palatino Linotype"/>
              </w:rPr>
              <w:t>Estilos de pantalla y de impresión (CSS)</w:t>
            </w:r>
          </w:p>
        </w:tc>
        <w:tc>
          <w:tcPr>
            <w:tcW w:type="dxa" w:w="1134"/>
          </w:tcPr>
          <w:p>
            <w:pPr>
              <w:spacing w:before="60" w:after="60"/>
              <w:jc w:val="center"/>
            </w:pPr>
            <w:r>
              <w:rPr>
                <w:b w:val="0"/>
                <w:i w:val="0"/>
                <w:color w:val="1C1F26"/>
                <w:sz w:val="18"/>
                <w:rFonts w:ascii="Palatino Linotype" w:hAnsi="Palatino Linotype" w:cs="Palatino Linotype"/>
              </w:rPr>
              <w:t>1.152</w:t>
            </w:r>
          </w:p>
        </w:tc>
        <w:tc>
          <w:tcPr>
            <w:tcW w:type="dxa" w:w="3969"/>
          </w:tcPr>
          <w:p>
            <w:pPr>
              <w:spacing w:before="60" w:after="60"/>
              <w:jc w:val="center"/>
            </w:pPr>
            <w:r>
              <w:rPr>
                <w:b w:val="0"/>
                <w:i w:val="0"/>
                <w:color w:val="1C1F26"/>
                <w:sz w:val="18"/>
                <w:rFonts w:ascii="Palatino Linotype" w:hAnsi="Palatino Linotype" w:cs="Palatino Linotype"/>
              </w:rPr>
              <w:t>hoja de impresión propia para A4</w:t>
            </w:r>
          </w:p>
        </w:tc>
      </w:tr>
      <w:tr>
        <w:tc>
          <w:tcPr>
            <w:tcW w:type="dxa" w:w="4309"/>
          </w:tcPr>
          <w:p>
            <w:pPr>
              <w:spacing w:before="60" w:after="60"/>
            </w:pPr>
            <w:r>
              <w:rPr>
                <w:b w:val="0"/>
                <w:i w:val="0"/>
                <w:color w:val="1C1F26"/>
                <w:sz w:val="18"/>
                <w:rFonts w:ascii="Palatino Linotype" w:hAnsi="Palatino Linotype" w:cs="Palatino Linotype"/>
              </w:rPr>
              <w:t>Herramientas de construcción y comprobación (Python)</w:t>
            </w:r>
          </w:p>
        </w:tc>
        <w:tc>
          <w:tcPr>
            <w:tcW w:type="dxa" w:w="1134"/>
          </w:tcPr>
          <w:p>
            <w:pPr>
              <w:spacing w:before="60" w:after="60"/>
              <w:jc w:val="center"/>
            </w:pPr>
            <w:r>
              <w:rPr>
                <w:b w:val="0"/>
                <w:i w:val="0"/>
                <w:color w:val="1C1F26"/>
                <w:sz w:val="18"/>
                <w:rFonts w:ascii="Palatino Linotype" w:hAnsi="Palatino Linotype" w:cs="Palatino Linotype"/>
              </w:rPr>
              <w:t>6.465</w:t>
            </w:r>
          </w:p>
        </w:tc>
        <w:tc>
          <w:tcPr>
            <w:tcW w:type="dxa" w:w="3969"/>
          </w:tcPr>
          <w:p>
            <w:pPr>
              <w:spacing w:before="60" w:after="60"/>
              <w:jc w:val="center"/>
            </w:pPr>
            <w:r>
              <w:rPr>
                <w:b w:val="0"/>
                <w:i w:val="0"/>
                <w:color w:val="1C1F26"/>
                <w:sz w:val="18"/>
                <w:rFonts w:ascii="Palatino Linotype" w:hAnsi="Palatino Linotype" w:cs="Palatino Linotype"/>
              </w:rPr>
              <w:t>16 programas</w:t>
            </w:r>
          </w:p>
        </w:tc>
      </w:tr>
      <w:tr>
        <w:tc>
          <w:tcPr>
            <w:tcW w:type="dxa" w:w="4309"/>
          </w:tcPr>
          <w:p>
            <w:pPr>
              <w:spacing w:before="60" w:after="60"/>
            </w:pPr>
            <w:r>
              <w:rPr>
                <w:b w:val="0"/>
                <w:i w:val="0"/>
                <w:color w:val="1C1F26"/>
                <w:sz w:val="18"/>
                <w:rFonts w:ascii="Palatino Linotype" w:hAnsi="Palatino Linotype" w:cs="Palatino Linotype"/>
              </w:rPr>
              <w:t>Casos dorados y baterías de prueba (Node, sin dependencias)</w:t>
            </w:r>
          </w:p>
        </w:tc>
        <w:tc>
          <w:tcPr>
            <w:tcW w:type="dxa" w:w="1134"/>
          </w:tcPr>
          <w:p>
            <w:pPr>
              <w:spacing w:before="60" w:after="60"/>
              <w:jc w:val="center"/>
            </w:pPr>
            <w:r>
              <w:rPr>
                <w:b w:val="0"/>
                <w:i w:val="0"/>
                <w:color w:val="1C1F26"/>
                <w:sz w:val="18"/>
                <w:rFonts w:ascii="Palatino Linotype" w:hAnsi="Palatino Linotype" w:cs="Palatino Linotype"/>
              </w:rPr>
              <w:t>2.067</w:t>
            </w:r>
          </w:p>
        </w:tc>
        <w:tc>
          <w:tcPr>
            <w:tcW w:type="dxa" w:w="3969"/>
          </w:tcPr>
          <w:p>
            <w:pPr>
              <w:spacing w:before="60" w:after="60"/>
              <w:jc w:val="center"/>
            </w:pPr>
            <w:r>
              <w:rPr>
                <w:b w:val="0"/>
                <w:i w:val="0"/>
                <w:color w:val="1C1F26"/>
                <w:sz w:val="18"/>
                <w:rFonts w:ascii="Palatino Linotype" w:hAnsi="Palatino Linotype" w:cs="Palatino Linotype"/>
              </w:rPr>
              <w:t>6 archivos</w:t>
            </w:r>
          </w:p>
        </w:tc>
      </w:tr>
      <w:tr>
        <w:tc>
          <w:tcPr>
            <w:tcW w:type="dxa" w:w="4309"/>
          </w:tcPr>
          <w:p>
            <w:pPr>
              <w:spacing w:before="60" w:after="60"/>
            </w:pPr>
            <w:r>
              <w:rPr>
                <w:b w:val="0"/>
                <w:i w:val="0"/>
                <w:color w:val="1C1F26"/>
                <w:sz w:val="18"/>
                <w:rFonts w:ascii="Palatino Linotype" w:hAnsi="Palatino Linotype" w:cs="Palatino Linotype"/>
              </w:rPr>
              <w:t>Contenido curricular estructurado (JSON)</w:t>
            </w:r>
          </w:p>
        </w:tc>
        <w:tc>
          <w:tcPr>
            <w:tcW w:type="dxa" w:w="1134"/>
          </w:tcPr>
          <w:p>
            <w:pPr>
              <w:spacing w:before="60" w:after="60"/>
              <w:jc w:val="center"/>
            </w:pPr>
            <w:r>
              <w:rPr>
                <w:b w:val="0"/>
                <w:i w:val="0"/>
                <w:color w:val="1C1F26"/>
                <w:sz w:val="18"/>
                <w:rFonts w:ascii="Palatino Linotype" w:hAnsi="Palatino Linotype" w:cs="Palatino Linotype"/>
              </w:rPr>
              <w:t>32.386</w:t>
            </w:r>
          </w:p>
        </w:tc>
        <w:tc>
          <w:tcPr>
            <w:tcW w:type="dxa" w:w="3969"/>
          </w:tcPr>
          <w:p>
            <w:pPr>
              <w:spacing w:before="60" w:after="60"/>
              <w:jc w:val="center"/>
            </w:pPr>
            <w:r>
              <w:rPr>
                <w:b w:val="0"/>
                <w:i w:val="0"/>
                <w:color w:val="1C1F26"/>
                <w:sz w:val="18"/>
                <w:rFonts w:ascii="Palatino Linotype" w:hAnsi="Palatino Linotype" w:cs="Palatino Linotype"/>
              </w:rPr>
              <w:t>packs, catálogo, derivación, léxico, verbos y esquema</w:t>
            </w:r>
          </w:p>
        </w:tc>
      </w:tr>
      <w:tr>
        <w:tc>
          <w:tcPr>
            <w:tcW w:type="dxa" w:w="4309"/>
          </w:tcPr>
          <w:p>
            <w:pPr>
              <w:spacing w:before="60" w:after="60"/>
            </w:pPr>
            <w:r>
              <w:rPr>
                <w:b w:val="0"/>
                <w:i w:val="0"/>
                <w:color w:val="1C1F26"/>
                <w:sz w:val="18"/>
                <w:rFonts w:ascii="Palatino Linotype" w:hAnsi="Palatino Linotype" w:cs="Palatino Linotype"/>
              </w:rPr>
              <w:t>Documentación de diseño (Markdown)</w:t>
            </w:r>
          </w:p>
        </w:tc>
        <w:tc>
          <w:tcPr>
            <w:tcW w:type="dxa" w:w="1134"/>
          </w:tcPr>
          <w:p>
            <w:pPr>
              <w:spacing w:before="60" w:after="60"/>
              <w:jc w:val="center"/>
            </w:pPr>
            <w:r>
              <w:rPr>
                <w:b w:val="0"/>
                <w:i w:val="0"/>
                <w:color w:val="1C1F26"/>
                <w:sz w:val="18"/>
                <w:rFonts w:ascii="Palatino Linotype" w:hAnsi="Palatino Linotype" w:cs="Palatino Linotype"/>
              </w:rPr>
              <w:t>3.480</w:t>
            </w:r>
          </w:p>
        </w:tc>
        <w:tc>
          <w:tcPr>
            <w:tcW w:type="dxa" w:w="3969"/>
          </w:tcPr>
          <w:p>
            <w:pPr>
              <w:spacing w:before="60" w:after="60"/>
              <w:jc w:val="center"/>
            </w:pPr>
            <w:r>
              <w:rPr>
                <w:b w:val="0"/>
                <w:i w:val="0"/>
                <w:color w:val="1C1F26"/>
                <w:sz w:val="18"/>
                <w:rFonts w:ascii="Palatino Linotype" w:hAnsi="Palatino Linotype" w:cs="Palatino Linotype"/>
              </w:rPr>
              <w:t>SDD, registro de cambios, motivos de las reglas</w:t>
            </w:r>
          </w:p>
        </w:tc>
      </w:tr>
      <w:tr>
        <w:tc>
          <w:tcPr>
            <w:tcW w:type="dxa" w:w="4309"/>
          </w:tcPr>
          <w:p>
            <w:pPr>
              <w:spacing w:before="60" w:after="60"/>
            </w:pPr>
            <w:r>
              <w:rPr>
                <w:b w:val="0"/>
                <w:i w:val="0"/>
                <w:color w:val="1C1F26"/>
                <w:sz w:val="18"/>
                <w:rFonts w:ascii="Palatino Linotype" w:hAnsi="Palatino Linotype" w:cs="Palatino Linotype"/>
              </w:rPr>
              <w:t>Derivados generados por el propio repositorio</w:t>
            </w:r>
          </w:p>
        </w:tc>
        <w:tc>
          <w:tcPr>
            <w:tcW w:type="dxa" w:w="1134"/>
          </w:tcPr>
          <w:p>
            <w:pPr>
              <w:spacing w:before="60" w:after="60"/>
              <w:jc w:val="center"/>
            </w:pPr>
            <w:r>
              <w:rPr>
                <w:b w:val="0"/>
                <w:i w:val="0"/>
                <w:color w:val="1C1F26"/>
                <w:sz w:val="18"/>
                <w:rFonts w:ascii="Palatino Linotype" w:hAnsi="Palatino Linotype" w:cs="Palatino Linotype"/>
              </w:rPr>
              <w:t>5.942</w:t>
            </w:r>
          </w:p>
        </w:tc>
        <w:tc>
          <w:tcPr>
            <w:tcW w:type="dxa" w:w="3969"/>
          </w:tcPr>
          <w:p>
            <w:pPr>
              <w:spacing w:before="60" w:after="60"/>
              <w:jc w:val="center"/>
            </w:pPr>
            <w:r>
              <w:rPr>
                <w:b w:val="0"/>
                <w:i w:val="0"/>
                <w:color w:val="1C1F26"/>
                <w:sz w:val="18"/>
                <w:rFonts w:ascii="Palatino Linotype" w:hAnsi="Palatino Linotype" w:cs="Palatino Linotype"/>
              </w:rPr>
              <w:t>js/lexico.js y docs/revision-*.md — no se editan a mano</w:t>
            </w:r>
          </w:p>
        </w:tc>
      </w:tr>
      <w:tr>
        <w:tc>
          <w:tcPr>
            <w:tcW w:type="dxa" w:w="4309"/>
          </w:tcPr>
          <w:p>
            <w:pPr>
              <w:spacing w:before="60" w:after="60"/>
            </w:pPr>
            <w:r>
              <w:rPr>
                <w:b/>
                <w:i w:val="0"/>
                <w:color w:val="1C1F26"/>
                <w:sz w:val="18"/>
                <w:rFonts w:ascii="Palatino Linotype" w:hAnsi="Palatino Linotype" w:cs="Palatino Linotype"/>
              </w:rPr>
              <w:t>TOTAL</w:t>
            </w:r>
          </w:p>
        </w:tc>
        <w:tc>
          <w:tcPr>
            <w:tcW w:type="dxa" w:w="1134"/>
          </w:tcPr>
          <w:p>
            <w:pPr>
              <w:spacing w:before="60" w:after="60"/>
              <w:jc w:val="center"/>
            </w:pPr>
            <w:r>
              <w:rPr>
                <w:b/>
                <w:i w:val="0"/>
                <w:color w:val="1C1F26"/>
                <w:sz w:val="18"/>
                <w:rFonts w:ascii="Palatino Linotype" w:hAnsi="Palatino Linotype" w:cs="Palatino Linotype"/>
              </w:rPr>
              <w:t>55.871</w:t>
            </w:r>
          </w:p>
        </w:tc>
        <w:tc>
          <w:tcPr>
            <w:tcW w:type="dxa" w:w="3969"/>
          </w:tcPr>
          <w:p>
            <w:pPr>
              <w:spacing w:before="60" w:after="60"/>
              <w:jc w:val="center"/>
            </w:pPr>
            <w:r>
              <w:rPr>
                <w:b w:val="0"/>
                <w:i w:val="0"/>
                <w:color w:val="1C1F26"/>
                <w:sz w:val="18"/>
                <w:rFonts w:ascii="Palatino Linotype" w:hAnsi="Palatino Linotype" w:cs="Palatino Linotype"/>
              </w:rPr>
              <w:t>código, contenido, herramientas, pruebas y documentación de diseño</w:t>
            </w:r>
          </w:p>
        </w:tc>
      </w:tr>
    </w:tbl>
    <w:p>
      <w:pPr>
        <w:spacing w:after="0"/>
      </w:pPr>
    </w:p>
    <w:p>
      <w:pPr>
        <w:keepNext/>
        <w:spacing w:before="260" w:after="60"/>
      </w:pPr>
      <w:r>
        <w:rPr>
          <w:b/>
          <w:i w:val="0"/>
          <w:color w:val="1C1F26"/>
          <w:sz w:val="23"/>
          <w:rFonts w:ascii="Palatino Linotype" w:hAnsi="Palatino Linotype" w:cs="Palatino Linotype"/>
        </w:rPr>
        <w:t>3.4 Cada hecho, en un solo sitio</w:t>
      </w:r>
    </w:p>
    <w:p>
      <w:pPr>
        <w:jc w:val="both"/>
      </w:pPr>
      <w:r>
        <w:rPr>
          <w:b w:val="0"/>
          <w:i w:val="0"/>
          <w:color w:val="1C1F26"/>
          <w:sz w:val="21"/>
          <w:rFonts w:ascii="Palatino Linotype" w:hAnsi="Palatino Linotype" w:cs="Palatino Linotype"/>
        </w:rPr>
        <w:t xml:space="preserve">La regla estructural que gobierna todo el repositorio es que </w:t>
      </w:r>
      <w:r>
        <w:rPr>
          <w:b/>
          <w:i w:val="0"/>
          <w:color w:val="1C1F26"/>
          <w:sz w:val="21"/>
          <w:rFonts w:ascii="Palatino Linotype" w:hAnsi="Palatino Linotype" w:cs="Palatino Linotype"/>
        </w:rPr>
        <w:t>ningún hecho se escribe dos veces</w:t>
      </w:r>
      <w:r>
        <w:rPr>
          <w:b w:val="0"/>
          <w:i w:val="0"/>
          <w:color w:val="1C1F26"/>
          <w:sz w:val="21"/>
          <w:rFonts w:ascii="Palatino Linotype" w:hAnsi="Palatino Linotype" w:cs="Palatino Linotype"/>
        </w:rPr>
        <w:t>. No es una preferencia de estilo: nació de tres copias del mismo dato que se separaron en silencio y dejaron a la aplicación imprimiendo un nombre de nivel que el material de aula ya no usaba. De ahí que los datos manden sobre el código y sobre la documentación, y que los derivados se generen:</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4706"/>
        <w:gridCol w:w="4706"/>
      </w:tblGrid>
      <w:tr>
        <w:tc>
          <w:tcPr>
            <w:tcW w:type="dxa" w:w="2494"/>
            <w:shd w:val="clear" w:fill="F4F2EE"/>
          </w:tcPr>
          <w:p>
            <w:pPr>
              <w:spacing w:before="60" w:after="60"/>
            </w:pPr>
            <w:r>
              <w:rPr>
                <w:b/>
                <w:i w:val="0"/>
                <w:color w:val="1C1F26"/>
                <w:sz w:val="18"/>
                <w:rFonts w:ascii="Palatino Linotype" w:hAnsi="Palatino Linotype" w:cs="Palatino Linotype"/>
              </w:rPr>
              <w:t>Archivo de datos</w:t>
            </w:r>
          </w:p>
        </w:tc>
        <w:tc>
          <w:tcPr>
            <w:tcW w:type="dxa" w:w="6917"/>
            <w:shd w:val="clear" w:fill="F4F2EE"/>
          </w:tcPr>
          <w:p>
            <w:pPr>
              <w:spacing w:before="60" w:after="60"/>
            </w:pPr>
            <w:r>
              <w:rPr>
                <w:b/>
                <w:i w:val="0"/>
                <w:color w:val="1C1F26"/>
                <w:sz w:val="18"/>
                <w:rFonts w:ascii="Palatino Linotype" w:hAnsi="Palatino Linotype" w:cs="Palatino Linotype"/>
              </w:rPr>
              <w:t>Manda sobre</w:t>
            </w:r>
          </w:p>
        </w:tc>
      </w:tr>
      <w:tr>
        <w:tc>
          <w:tcPr>
            <w:tcW w:type="dxa" w:w="2494"/>
          </w:tcPr>
          <w:p>
            <w:pPr>
              <w:spacing w:before="60" w:after="60"/>
            </w:pPr>
            <w:r>
              <w:rPr>
                <w:b w:val="0"/>
                <w:i w:val="0"/>
                <w:color w:val="1C1F26"/>
                <w:sz w:val="18"/>
                <w:rFonts w:ascii="Palatino Linotype" w:hAnsi="Palatino Linotype" w:cs="Palatino Linotype"/>
              </w:rPr>
              <w:t>catalogo.json</w:t>
            </w:r>
          </w:p>
        </w:tc>
        <w:tc>
          <w:tcPr>
            <w:tcW w:type="dxa" w:w="6917"/>
          </w:tcPr>
          <w:p>
            <w:pPr>
              <w:spacing w:before="60" w:after="60"/>
            </w:pPr>
            <w:r>
              <w:rPr>
                <w:b w:val="0"/>
                <w:i w:val="0"/>
                <w:color w:val="1C1F26"/>
                <w:sz w:val="18"/>
                <w:rFonts w:ascii="Palatino Linotype" w:hAnsi="Palatino Linotype" w:cs="Palatino Linotype"/>
              </w:rPr>
              <w:t>Qué packs hay, qué materias, qué tipos de tarea, cómo se llaman los cursos y los cuatro niveles de logro.</w:t>
            </w:r>
          </w:p>
        </w:tc>
      </w:tr>
      <w:tr>
        <w:tc>
          <w:tcPr>
            <w:tcW w:type="dxa" w:w="2494"/>
          </w:tcPr>
          <w:p>
            <w:pPr>
              <w:spacing w:before="60" w:after="60"/>
            </w:pPr>
            <w:r>
              <w:rPr>
                <w:b w:val="0"/>
                <w:i w:val="0"/>
                <w:color w:val="1C1F26"/>
                <w:sz w:val="18"/>
                <w:rFonts w:ascii="Palatino Linotype" w:hAnsi="Palatino Linotype" w:cs="Palatino Linotype"/>
              </w:rPr>
              <w:t>derivacion-&lt;materia&gt;.json</w:t>
            </w:r>
          </w:p>
        </w:tc>
        <w:tc>
          <w:tcPr>
            <w:tcW w:type="dxa" w:w="6917"/>
          </w:tcPr>
          <w:p>
            <w:pPr>
              <w:spacing w:before="60" w:after="60"/>
            </w:pPr>
            <w:r>
              <w:rPr>
                <w:b w:val="0"/>
                <w:i w:val="0"/>
                <w:color w:val="1C1F26"/>
                <w:sz w:val="18"/>
                <w:rFonts w:ascii="Palatino Linotype" w:hAnsi="Palatino Linotype" w:cs="Palatino Linotype"/>
              </w:rPr>
              <w:t>Qué tarea sostiene el currículo en qué curso, y hasta dónde exige cada uno.</w:t>
            </w:r>
          </w:p>
        </w:tc>
      </w:tr>
      <w:tr>
        <w:tc>
          <w:tcPr>
            <w:tcW w:type="dxa" w:w="2494"/>
          </w:tcPr>
          <w:p>
            <w:pPr>
              <w:spacing w:before="60" w:after="60"/>
            </w:pPr>
            <w:r>
              <w:rPr>
                <w:b w:val="0"/>
                <w:i w:val="0"/>
                <w:color w:val="1C1F26"/>
                <w:sz w:val="18"/>
                <w:rFonts w:ascii="Palatino Linotype" w:hAnsi="Palatino Linotype" w:cs="Palatino Linotype"/>
              </w:rPr>
              <w:t>reglas-lexicas.json</w:t>
            </w:r>
          </w:p>
        </w:tc>
        <w:tc>
          <w:tcPr>
            <w:tcW w:type="dxa" w:w="6917"/>
          </w:tcPr>
          <w:p>
            <w:pPr>
              <w:spacing w:before="60" w:after="60"/>
            </w:pPr>
            <w:r>
              <w:rPr>
                <w:b w:val="0"/>
                <w:i w:val="0"/>
                <w:color w:val="1C1F26"/>
                <w:sz w:val="18"/>
                <w:rFonts w:ascii="Palatino Linotype" w:hAnsi="Palatino Linotype" w:cs="Palatino Linotype"/>
              </w:rPr>
              <w:t>Las palabras y los umbrales de las reglas del validador.</w:t>
            </w:r>
          </w:p>
        </w:tc>
      </w:tr>
      <w:tr>
        <w:tc>
          <w:tcPr>
            <w:tcW w:type="dxa" w:w="2494"/>
          </w:tcPr>
          <w:p>
            <w:pPr>
              <w:spacing w:before="60" w:after="60"/>
            </w:pPr>
            <w:r>
              <w:rPr>
                <w:b w:val="0"/>
                <w:i w:val="0"/>
                <w:color w:val="1C1F26"/>
                <w:sz w:val="18"/>
                <w:rFonts w:ascii="Palatino Linotype" w:hAnsi="Palatino Linotype" w:cs="Palatino Linotype"/>
              </w:rPr>
              <w:t>verbos.json</w:t>
            </w:r>
          </w:p>
        </w:tc>
        <w:tc>
          <w:tcPr>
            <w:tcW w:type="dxa" w:w="6917"/>
          </w:tcPr>
          <w:p>
            <w:pPr>
              <w:spacing w:before="60" w:after="60"/>
            </w:pPr>
            <w:r>
              <w:rPr>
                <w:b w:val="0"/>
                <w:i w:val="0"/>
                <w:color w:val="1C1F26"/>
                <w:sz w:val="18"/>
                <w:rFonts w:ascii="Palatino Linotype" w:hAnsi="Palatino Linotype" w:cs="Palatino Linotype"/>
              </w:rPr>
              <w:t>El banco cerrado de verbos, con su tercera y su primera persona.</w:t>
            </w:r>
          </w:p>
        </w:tc>
      </w:tr>
      <w:tr>
        <w:tc>
          <w:tcPr>
            <w:tcW w:type="dxa" w:w="2494"/>
          </w:tcPr>
          <w:p>
            <w:pPr>
              <w:spacing w:before="60" w:after="60"/>
            </w:pPr>
            <w:r>
              <w:rPr>
                <w:b w:val="0"/>
                <w:i w:val="0"/>
                <w:color w:val="1C1F26"/>
                <w:sz w:val="18"/>
                <w:rFonts w:ascii="Palatino Linotype" w:hAnsi="Palatino Linotype" w:cs="Palatino Linotype"/>
              </w:rPr>
              <w:t>esquema-pack.json</w:t>
            </w:r>
          </w:p>
        </w:tc>
        <w:tc>
          <w:tcPr>
            <w:tcW w:type="dxa" w:w="6917"/>
          </w:tcPr>
          <w:p>
            <w:pPr>
              <w:spacing w:before="60" w:after="60"/>
            </w:pPr>
            <w:r>
              <w:rPr>
                <w:b w:val="0"/>
                <w:i w:val="0"/>
                <w:color w:val="1C1F26"/>
                <w:sz w:val="18"/>
                <w:rFonts w:ascii="Palatino Linotype" w:hAnsi="Palatino Linotype" w:cs="Palatino Linotype"/>
              </w:rPr>
              <w:t>La forma que debe tener un pack, antes que ninguna regla de contenido.</w:t>
            </w:r>
          </w:p>
        </w:tc>
      </w:tr>
    </w:tbl>
    <w:p>
      <w:pPr>
        <w:spacing w:after="0"/>
      </w:pPr>
    </w:p>
    <w:p>
      <w:pPr>
        <w:jc w:val="both"/>
      </w:pPr>
      <w:r>
        <w:rPr>
          <w:b/>
          <w:i w:val="0"/>
          <w:color w:val="1C1F26"/>
          <w:sz w:val="21"/>
          <w:rFonts w:ascii="Palatino Linotype" w:hAnsi="Palatino Linotype" w:cs="Palatino Linotype"/>
        </w:rPr>
        <w:t>Son derivados y no se editan a mano</w:t>
      </w:r>
      <w:r>
        <w:rPr>
          <w:b w:val="0"/>
          <w:i w:val="0"/>
          <w:color w:val="1C1F26"/>
          <w:sz w:val="21"/>
          <w:rFonts w:ascii="Palatino Linotype" w:hAnsi="Palatino Linotype" w:cs="Palatino Linotype"/>
        </w:rPr>
        <w:t>: el léxico que usa la aplicación, las dos tablas curriculares del documento de diseño, los documentos de revisión docente, la guía del profesorado, los iconos de la aplicación instalada y esta misma memoria. Una comprobación automática falla si alguno se ha separado de su fuente.</w:t>
      </w:r>
    </w:p>
    <w:p>
      <w:pPr>
        <w:keepNext/>
        <w:spacing w:before="260" w:after="60"/>
      </w:pPr>
      <w:r>
        <w:rPr>
          <w:b/>
          <w:i w:val="0"/>
          <w:color w:val="1C1F26"/>
          <w:sz w:val="23"/>
          <w:rFonts w:ascii="Palatino Linotype" w:hAnsi="Palatino Linotype" w:cs="Palatino Linotype"/>
        </w:rPr>
        <w:t>3.5 Ausencia deliberada de dependencias, de servidor y de IA</w:t>
      </w:r>
    </w:p>
    <w:p>
      <w:pPr>
        <w:jc w:val="both"/>
      </w:pPr>
      <w:r>
        <w:rPr>
          <w:b w:val="0"/>
          <w:i w:val="0"/>
          <w:color w:val="1C1F26"/>
          <w:sz w:val="21"/>
          <w:rFonts w:ascii="Palatino Linotype" w:hAnsi="Palatino Linotype" w:cs="Palatino Linotype"/>
        </w:rPr>
        <w:t>La obra no emplea ningún marco de trabajo, ninguna biblioteca de terceros en su lógica, ningún empaquetador, ningún preprocesador y ningún lenguaje transpilado. Se apoya exclusivamente en las interfaces nativas del navegador: módulos ES, almacenamiento local para la persistencia de las calificaciones en el propio equipo del docente y trabajador de servicio para el funcionamiento sin conexión. Las herramientas de construcción usan la biblioteca estándar de Python, salvo la escritura de documentos en formato Word.</w:t>
      </w:r>
    </w:p>
    <w:p>
      <w:pPr>
        <w:jc w:val="both"/>
      </w:pPr>
      <w:r>
        <w:rPr>
          <w:b/>
          <w:i w:val="0"/>
          <w:color w:val="1C1F26"/>
          <w:sz w:val="21"/>
          <w:rFonts w:ascii="Palatino Linotype" w:hAnsi="Palatino Linotype" w:cs="Palatino Linotype"/>
        </w:rPr>
        <w:t>Ninguna llamada a inteligencia artificial desde la aplicación.</w:t>
      </w:r>
      <w:r>
        <w:rPr>
          <w:b w:val="0"/>
          <w:i w:val="0"/>
          <w:color w:val="1C1F26"/>
          <w:sz w:val="21"/>
          <w:rFonts w:ascii="Palatino Linotype" w:hAnsi="Palatino Linotype" w:cs="Palatino Linotype"/>
        </w:rPr>
        <w:t xml:space="preserve"> La obra genera el texto del modo asistido para que el docente lo use fuera: no ejecuta prompts, no pide claves y no envía nada. El protocolo que acompaña siempre a ese texto exige retirar todo dato que identifique a un menor antes de usarlo, calibrar contra correcciones propias, exigir evidencia citada para cada nivel asignado, y deja escrito que </w:t>
      </w:r>
      <w:r>
        <w:rPr>
          <w:b/>
          <w:i w:val="0"/>
          <w:color w:val="1C1F26"/>
          <w:sz w:val="21"/>
          <w:rFonts w:ascii="Palatino Linotype" w:hAnsi="Palatino Linotype" w:cs="Palatino Linotype"/>
        </w:rPr>
        <w:t>la nota la firma el profesor</w:t>
      </w:r>
      <w:r>
        <w:rPr>
          <w:b w:val="0"/>
          <w:i w:val="0"/>
          <w:color w:val="1C1F26"/>
          <w:sz w:val="21"/>
          <w:rFonts w:ascii="Palatino Linotype" w:hAnsi="Palatino Linotype" w:cs="Palatino Linotype"/>
        </w:rPr>
        <w:t xml:space="preserve"> y que el alumnado debe saber si una IA ha intervenido en su corrección.</w:t>
      </w:r>
    </w:p>
    <w:p>
      <w:r>
        <w:br w:type="page"/>
      </w:r>
    </w:p>
    <w:p>
      <w:pPr>
        <w:keepNext/>
        <w:spacing w:before="440" w:after="120"/>
      </w:pPr>
      <w:r>
        <w:rPr>
          <w:b/>
          <w:i w:val="0"/>
          <w:color w:val="7A3B2E"/>
          <w:sz w:val="30"/>
          <w:rFonts w:ascii="Palatino Linotype" w:hAnsi="Palatino Linotype" w:cs="Palatino Linotype"/>
        </w:rPr>
        <w:t>4. ESTRUCTURAS DE DATOS PROPIETARIAS</w:t>
      </w:r>
    </w:p>
    <w:p>
      <w:pPr>
        <w:jc w:val="both"/>
      </w:pPr>
      <w:r>
        <w:rPr>
          <w:b w:val="0"/>
          <w:i w:val="0"/>
          <w:color w:val="1C1F26"/>
          <w:sz w:val="21"/>
          <w:rFonts w:ascii="Palatino Linotype" w:hAnsi="Palatino Linotype" w:cs="Palatino Linotype"/>
        </w:rPr>
        <w:t>El contenido curricular de la obra son 32.386 líneas de JSON de diseño propio, con su esquema normativo y su validador. Lo que sigue describe las estructuras originales que lo sostienen.</w:t>
      </w:r>
    </w:p>
    <w:p>
      <w:pPr>
        <w:keepNext/>
        <w:spacing w:before="260" w:after="60"/>
      </w:pPr>
      <w:r>
        <w:rPr>
          <w:b/>
          <w:i w:val="0"/>
          <w:color w:val="1C1F26"/>
          <w:sz w:val="23"/>
          <w:rFonts w:ascii="Palatino Linotype" w:hAnsi="Palatino Linotype" w:cs="Palatino Linotype"/>
        </w:rPr>
        <w:t>4.1 El pack de criterios</w:t>
      </w:r>
    </w:p>
    <w:p>
      <w:pPr>
        <w:jc w:val="both"/>
      </w:pPr>
      <w:r>
        <w:rPr>
          <w:b w:val="0"/>
          <w:i w:val="0"/>
          <w:color w:val="1C1F26"/>
          <w:sz w:val="21"/>
          <w:rFonts w:ascii="Palatino Linotype" w:hAnsi="Palatino Linotype" w:cs="Palatino Linotype"/>
        </w:rPr>
        <w:t xml:space="preserve">Un pack agrupa todos los criterios de un tipo de tarea, en todos los cursos donde el currículo lo sostiene. Hay </w:t>
      </w:r>
      <w:r>
        <w:rPr>
          <w:b/>
          <w:i w:val="0"/>
          <w:color w:val="1C1F26"/>
          <w:sz w:val="21"/>
          <w:rFonts w:ascii="Palatino Linotype" w:hAnsi="Palatino Linotype" w:cs="Palatino Linotype"/>
        </w:rPr>
        <w:t>diez packs</w:t>
      </w:r>
      <w:r>
        <w:rPr>
          <w:b w:val="0"/>
          <w:i w:val="0"/>
          <w:color w:val="1C1F26"/>
          <w:sz w:val="21"/>
          <w:rFonts w:ascii="Palatino Linotype" w:hAnsi="Palatino Linotype" w:cs="Palatino Linotype"/>
        </w:rPr>
        <w:t xml:space="preserve"> en explotación, uno por tipo de tarea, y cada uno declara su normativa de referencia, sus verbos añadidos al banco y la razón declarada de su reparto de pesos:</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1882"/>
        <w:gridCol w:w="1882"/>
        <w:gridCol w:w="1882"/>
        <w:gridCol w:w="1882"/>
        <w:gridCol w:w="1882"/>
      </w:tblGrid>
      <w:tr>
        <w:tc>
          <w:tcPr>
            <w:tcW w:type="dxa" w:w="2494"/>
            <w:shd w:val="clear" w:fill="F4F2EE"/>
          </w:tcPr>
          <w:p>
            <w:pPr>
              <w:spacing w:before="60" w:after="60"/>
            </w:pPr>
            <w:r>
              <w:rPr>
                <w:b/>
                <w:i w:val="0"/>
                <w:color w:val="1C1F26"/>
                <w:sz w:val="18"/>
                <w:rFonts w:ascii="Palatino Linotype" w:hAnsi="Palatino Linotype" w:cs="Palatino Linotype"/>
              </w:rPr>
              <w:t>Tipo de tarea</w:t>
            </w:r>
          </w:p>
        </w:tc>
        <w:tc>
          <w:tcPr>
            <w:tcW w:type="dxa" w:w="3402"/>
            <w:shd w:val="clear" w:fill="F4F2EE"/>
          </w:tcPr>
          <w:p>
            <w:pPr>
              <w:spacing w:before="60" w:after="60"/>
            </w:pPr>
            <w:r>
              <w:rPr>
                <w:b/>
                <w:i w:val="0"/>
                <w:color w:val="1C1F26"/>
                <w:sz w:val="18"/>
                <w:rFonts w:ascii="Palatino Linotype" w:hAnsi="Palatino Linotype" w:cs="Palatino Linotype"/>
              </w:rPr>
              <w:t>Archivo</w:t>
            </w:r>
          </w:p>
        </w:tc>
        <w:tc>
          <w:tcPr>
            <w:tcW w:type="dxa" w:w="1020"/>
            <w:shd w:val="clear" w:fill="F4F2EE"/>
          </w:tcPr>
          <w:p>
            <w:pPr>
              <w:spacing w:before="60" w:after="60"/>
              <w:jc w:val="center"/>
            </w:pPr>
            <w:r>
              <w:rPr>
                <w:b/>
                <w:i w:val="0"/>
                <w:color w:val="1C1F26"/>
                <w:sz w:val="18"/>
                <w:rFonts w:ascii="Palatino Linotype" w:hAnsi="Palatino Linotype" w:cs="Palatino Linotype"/>
              </w:rPr>
              <w:t>Versión</w:t>
            </w:r>
          </w:p>
        </w:tc>
        <w:tc>
          <w:tcPr>
            <w:tcW w:type="dxa" w:w="1247"/>
            <w:shd w:val="clear" w:fill="F4F2EE"/>
          </w:tcPr>
          <w:p>
            <w:pPr>
              <w:spacing w:before="60" w:after="60"/>
              <w:jc w:val="center"/>
            </w:pPr>
            <w:r>
              <w:rPr>
                <w:b/>
                <w:i w:val="0"/>
                <w:color w:val="1C1F26"/>
                <w:sz w:val="18"/>
                <w:rFonts w:ascii="Palatino Linotype" w:hAnsi="Palatino Linotype" w:cs="Palatino Linotype"/>
              </w:rPr>
              <w:t>Criterios</w:t>
            </w:r>
          </w:p>
        </w:tc>
        <w:tc>
          <w:tcPr>
            <w:tcW w:type="dxa" w:w="1247"/>
            <w:shd w:val="clear" w:fill="F4F2EE"/>
          </w:tcPr>
          <w:p>
            <w:pPr>
              <w:spacing w:before="60" w:after="60"/>
              <w:jc w:val="center"/>
            </w:pPr>
            <w:r>
              <w:rPr>
                <w:b/>
                <w:i w:val="0"/>
                <w:color w:val="1C1F26"/>
                <w:sz w:val="18"/>
                <w:rFonts w:ascii="Palatino Linotype" w:hAnsi="Palatino Linotype" w:cs="Palatino Linotype"/>
              </w:rPr>
              <w:t>Cursos</w:t>
            </w:r>
          </w:p>
        </w:tc>
      </w:tr>
      <w:tr>
        <w:tc>
          <w:tcPr>
            <w:tcW w:type="dxa" w:w="2494"/>
          </w:tcPr>
          <w:p>
            <w:pPr>
              <w:spacing w:before="60" w:after="60"/>
            </w:pPr>
            <w:r>
              <w:rPr>
                <w:b w:val="0"/>
                <w:i w:val="0"/>
                <w:color w:val="1C1F26"/>
                <w:sz w:val="18"/>
                <w:rFonts w:ascii="Palatino Linotype" w:hAnsi="Palatino Linotype" w:cs="Palatino Linotype"/>
              </w:rPr>
              <w:t>Texto argumentativo</w:t>
            </w:r>
          </w:p>
        </w:tc>
        <w:tc>
          <w:tcPr>
            <w:tcW w:type="dxa" w:w="3402"/>
          </w:tcPr>
          <w:p>
            <w:pPr>
              <w:spacing w:before="60" w:after="60"/>
            </w:pPr>
            <w:r>
              <w:rPr>
                <w:b w:val="0"/>
                <w:i w:val="0"/>
                <w:color w:val="1C1F26"/>
                <w:sz w:val="18"/>
                <w:rFonts w:ascii="Palatino Linotype" w:hAnsi="Palatino Linotype" w:cs="Palatino Linotype"/>
              </w:rPr>
              <w:t>pack-lcl-argumentativo.json</w:t>
            </w:r>
          </w:p>
        </w:tc>
        <w:tc>
          <w:tcPr>
            <w:tcW w:type="dxa" w:w="1020"/>
          </w:tcPr>
          <w:p>
            <w:pPr>
              <w:spacing w:before="60" w:after="60"/>
              <w:jc w:val="center"/>
            </w:pPr>
            <w:r>
              <w:rPr>
                <w:b w:val="0"/>
                <w:i w:val="0"/>
                <w:color w:val="1C1F26"/>
                <w:sz w:val="18"/>
                <w:rFonts w:ascii="Palatino Linotype" w:hAnsi="Palatino Linotype" w:cs="Palatino Linotype"/>
              </w:rPr>
              <w:t>0.7.0</w:t>
            </w:r>
          </w:p>
        </w:tc>
        <w:tc>
          <w:tcPr>
            <w:tcW w:type="dxa" w:w="1247"/>
          </w:tcPr>
          <w:p>
            <w:pPr>
              <w:spacing w:before="60" w:after="60"/>
              <w:jc w:val="center"/>
            </w:pPr>
            <w:r>
              <w:rPr>
                <w:b w:val="0"/>
                <w:i w:val="0"/>
                <w:color w:val="1C1F26"/>
                <w:sz w:val="18"/>
                <w:rFonts w:ascii="Palatino Linotype" w:hAnsi="Palatino Linotype" w:cs="Palatino Linotype"/>
              </w:rPr>
              <w:t>30</w:t>
            </w:r>
          </w:p>
        </w:tc>
        <w:tc>
          <w:tcPr>
            <w:tcW w:type="dxa" w:w="1247"/>
          </w:tcPr>
          <w:p>
            <w:pPr>
              <w:spacing w:before="60" w:after="60"/>
              <w:jc w:val="center"/>
            </w:pPr>
            <w:r>
              <w:rPr>
                <w:b w:val="0"/>
                <w:i w:val="0"/>
                <w:color w:val="1C1F26"/>
                <w:sz w:val="18"/>
                <w:rFonts w:ascii="Palatino Linotype" w:hAnsi="Palatino Linotype" w:cs="Palatino Linotype"/>
              </w:rPr>
              <w:t>5</w:t>
            </w:r>
          </w:p>
        </w:tc>
      </w:tr>
      <w:tr>
        <w:tc>
          <w:tcPr>
            <w:tcW w:type="dxa" w:w="2494"/>
          </w:tcPr>
          <w:p>
            <w:pPr>
              <w:spacing w:before="60" w:after="60"/>
            </w:pPr>
            <w:r>
              <w:rPr>
                <w:b w:val="0"/>
                <w:i w:val="0"/>
                <w:color w:val="1C1F26"/>
                <w:sz w:val="18"/>
                <w:rFonts w:ascii="Palatino Linotype" w:hAnsi="Palatino Linotype" w:cs="Palatino Linotype"/>
              </w:rPr>
              <w:t>Comentario de texto literario</w:t>
            </w:r>
          </w:p>
        </w:tc>
        <w:tc>
          <w:tcPr>
            <w:tcW w:type="dxa" w:w="3402"/>
          </w:tcPr>
          <w:p>
            <w:pPr>
              <w:spacing w:before="60" w:after="60"/>
            </w:pPr>
            <w:r>
              <w:rPr>
                <w:b w:val="0"/>
                <w:i w:val="0"/>
                <w:color w:val="1C1F26"/>
                <w:sz w:val="18"/>
                <w:rFonts w:ascii="Palatino Linotype" w:hAnsi="Palatino Linotype" w:cs="Palatino Linotype"/>
              </w:rPr>
              <w:t>pack-lcl-comentario.json</w:t>
            </w:r>
          </w:p>
        </w:tc>
        <w:tc>
          <w:tcPr>
            <w:tcW w:type="dxa" w:w="1020"/>
          </w:tcPr>
          <w:p>
            <w:pPr>
              <w:spacing w:before="60" w:after="60"/>
              <w:jc w:val="center"/>
            </w:pPr>
            <w:r>
              <w:rPr>
                <w:b w:val="0"/>
                <w:i w:val="0"/>
                <w:color w:val="1C1F26"/>
                <w:sz w:val="18"/>
                <w:rFonts w:ascii="Palatino Linotype" w:hAnsi="Palatino Linotype" w:cs="Palatino Linotype"/>
              </w:rPr>
              <w:t>0.5.0</w:t>
            </w:r>
          </w:p>
        </w:tc>
        <w:tc>
          <w:tcPr>
            <w:tcW w:type="dxa" w:w="1247"/>
          </w:tcPr>
          <w:p>
            <w:pPr>
              <w:spacing w:before="60" w:after="60"/>
              <w:jc w:val="center"/>
            </w:pPr>
            <w:r>
              <w:rPr>
                <w:b w:val="0"/>
                <w:i w:val="0"/>
                <w:color w:val="1C1F26"/>
                <w:sz w:val="18"/>
                <w:rFonts w:ascii="Palatino Linotype" w:hAnsi="Palatino Linotype" w:cs="Palatino Linotype"/>
              </w:rPr>
              <w:t>29</w:t>
            </w:r>
          </w:p>
        </w:tc>
        <w:tc>
          <w:tcPr>
            <w:tcW w:type="dxa" w:w="1247"/>
          </w:tcPr>
          <w:p>
            <w:pPr>
              <w:spacing w:before="60" w:after="60"/>
              <w:jc w:val="center"/>
            </w:pPr>
            <w:r>
              <w:rPr>
                <w:b w:val="0"/>
                <w:i w:val="0"/>
                <w:color w:val="1C1F26"/>
                <w:sz w:val="18"/>
                <w:rFonts w:ascii="Palatino Linotype" w:hAnsi="Palatino Linotype" w:cs="Palatino Linotype"/>
              </w:rPr>
              <w:t>5</w:t>
            </w:r>
          </w:p>
        </w:tc>
      </w:tr>
      <w:tr>
        <w:tc>
          <w:tcPr>
            <w:tcW w:type="dxa" w:w="2494"/>
          </w:tcPr>
          <w:p>
            <w:pPr>
              <w:spacing w:before="60" w:after="60"/>
            </w:pPr>
            <w:r>
              <w:rPr>
                <w:b w:val="0"/>
                <w:i w:val="0"/>
                <w:color w:val="1C1F26"/>
                <w:sz w:val="18"/>
                <w:rFonts w:ascii="Palatino Linotype" w:hAnsi="Palatino Linotype" w:cs="Palatino Linotype"/>
              </w:rPr>
              <w:t>Debate y situaciones orales dialogadas</w:t>
            </w:r>
          </w:p>
        </w:tc>
        <w:tc>
          <w:tcPr>
            <w:tcW w:type="dxa" w:w="3402"/>
          </w:tcPr>
          <w:p>
            <w:pPr>
              <w:spacing w:before="60" w:after="60"/>
            </w:pPr>
            <w:r>
              <w:rPr>
                <w:b w:val="0"/>
                <w:i w:val="0"/>
                <w:color w:val="1C1F26"/>
                <w:sz w:val="18"/>
                <w:rFonts w:ascii="Palatino Linotype" w:hAnsi="Palatino Linotype" w:cs="Palatino Linotype"/>
              </w:rPr>
              <w:t>pack-lcl-debate.json</w:t>
            </w:r>
          </w:p>
        </w:tc>
        <w:tc>
          <w:tcPr>
            <w:tcW w:type="dxa" w:w="1020"/>
          </w:tcPr>
          <w:p>
            <w:pPr>
              <w:spacing w:before="60" w:after="60"/>
              <w:jc w:val="center"/>
            </w:pPr>
            <w:r>
              <w:rPr>
                <w:b w:val="0"/>
                <w:i w:val="0"/>
                <w:color w:val="1C1F26"/>
                <w:sz w:val="18"/>
                <w:rFonts w:ascii="Palatino Linotype" w:hAnsi="Palatino Linotype" w:cs="Palatino Linotype"/>
              </w:rPr>
              <w:t>0.3.0</w:t>
            </w:r>
          </w:p>
        </w:tc>
        <w:tc>
          <w:tcPr>
            <w:tcW w:type="dxa" w:w="1247"/>
          </w:tcPr>
          <w:p>
            <w:pPr>
              <w:spacing w:before="60" w:after="60"/>
              <w:jc w:val="center"/>
            </w:pPr>
            <w:r>
              <w:rPr>
                <w:b w:val="0"/>
                <w:i w:val="0"/>
                <w:color w:val="1C1F26"/>
                <w:sz w:val="18"/>
                <w:rFonts w:ascii="Palatino Linotype" w:hAnsi="Palatino Linotype" w:cs="Palatino Linotype"/>
              </w:rPr>
              <w:t>11</w:t>
            </w:r>
          </w:p>
        </w:tc>
        <w:tc>
          <w:tcPr>
            <w:tcW w:type="dxa" w:w="1247"/>
          </w:tcPr>
          <w:p>
            <w:pPr>
              <w:spacing w:before="60" w:after="60"/>
              <w:jc w:val="center"/>
            </w:pPr>
            <w:r>
              <w:rPr>
                <w:b w:val="0"/>
                <w:i w:val="0"/>
                <w:color w:val="1C1F26"/>
                <w:sz w:val="18"/>
                <w:rFonts w:ascii="Palatino Linotype" w:hAnsi="Palatino Linotype" w:cs="Palatino Linotype"/>
              </w:rPr>
              <w:t>3</w:t>
            </w:r>
          </w:p>
        </w:tc>
      </w:tr>
      <w:tr>
        <w:tc>
          <w:tcPr>
            <w:tcW w:type="dxa" w:w="2494"/>
          </w:tcPr>
          <w:p>
            <w:pPr>
              <w:spacing w:before="60" w:after="60"/>
            </w:pPr>
            <w:r>
              <w:rPr>
                <w:b w:val="0"/>
                <w:i w:val="0"/>
                <w:color w:val="1C1F26"/>
                <w:sz w:val="18"/>
                <w:rFonts w:ascii="Palatino Linotype" w:hAnsi="Palatino Linotype" w:cs="Palatino Linotype"/>
              </w:rPr>
              <w:t>Texto expositivo</w:t>
            </w:r>
          </w:p>
        </w:tc>
        <w:tc>
          <w:tcPr>
            <w:tcW w:type="dxa" w:w="3402"/>
          </w:tcPr>
          <w:p>
            <w:pPr>
              <w:spacing w:before="60" w:after="60"/>
            </w:pPr>
            <w:r>
              <w:rPr>
                <w:b w:val="0"/>
                <w:i w:val="0"/>
                <w:color w:val="1C1F26"/>
                <w:sz w:val="18"/>
                <w:rFonts w:ascii="Palatino Linotype" w:hAnsi="Palatino Linotype" w:cs="Palatino Linotype"/>
              </w:rPr>
              <w:t>pack-lcl-expositivo.json</w:t>
            </w:r>
          </w:p>
        </w:tc>
        <w:tc>
          <w:tcPr>
            <w:tcW w:type="dxa" w:w="1020"/>
          </w:tcPr>
          <w:p>
            <w:pPr>
              <w:spacing w:before="60" w:after="60"/>
              <w:jc w:val="center"/>
            </w:pPr>
            <w:r>
              <w:rPr>
                <w:b w:val="0"/>
                <w:i w:val="0"/>
                <w:color w:val="1C1F26"/>
                <w:sz w:val="18"/>
                <w:rFonts w:ascii="Palatino Linotype" w:hAnsi="Palatino Linotype" w:cs="Palatino Linotype"/>
              </w:rPr>
              <w:t>0.7.0</w:t>
            </w:r>
          </w:p>
        </w:tc>
        <w:tc>
          <w:tcPr>
            <w:tcW w:type="dxa" w:w="1247"/>
          </w:tcPr>
          <w:p>
            <w:pPr>
              <w:spacing w:before="60" w:after="60"/>
              <w:jc w:val="center"/>
            </w:pPr>
            <w:r>
              <w:rPr>
                <w:b w:val="0"/>
                <w:i w:val="0"/>
                <w:color w:val="1C1F26"/>
                <w:sz w:val="18"/>
                <w:rFonts w:ascii="Palatino Linotype" w:hAnsi="Palatino Linotype" w:cs="Palatino Linotype"/>
              </w:rPr>
              <w:t>36</w:t>
            </w:r>
          </w:p>
        </w:tc>
        <w:tc>
          <w:tcPr>
            <w:tcW w:type="dxa" w:w="1247"/>
          </w:tcPr>
          <w:p>
            <w:pPr>
              <w:spacing w:before="60" w:after="60"/>
              <w:jc w:val="center"/>
            </w:pPr>
            <w:r>
              <w:rPr>
                <w:b w:val="0"/>
                <w:i w:val="0"/>
                <w:color w:val="1C1F26"/>
                <w:sz w:val="18"/>
                <w:rFonts w:ascii="Palatino Linotype" w:hAnsi="Palatino Linotype" w:cs="Palatino Linotype"/>
              </w:rPr>
              <w:t>6</w:t>
            </w:r>
          </w:p>
        </w:tc>
      </w:tr>
      <w:tr>
        <w:tc>
          <w:tcPr>
            <w:tcW w:type="dxa" w:w="2494"/>
          </w:tcPr>
          <w:p>
            <w:pPr>
              <w:spacing w:before="60" w:after="60"/>
            </w:pPr>
            <w:r>
              <w:rPr>
                <w:b w:val="0"/>
                <w:i w:val="0"/>
                <w:color w:val="1C1F26"/>
                <w:sz w:val="18"/>
                <w:rFonts w:ascii="Palatino Linotype" w:hAnsi="Palatino Linotype" w:cs="Palatino Linotype"/>
              </w:rPr>
              <w:t>Trabajo de investigación multimodal</w:t>
            </w:r>
          </w:p>
        </w:tc>
        <w:tc>
          <w:tcPr>
            <w:tcW w:type="dxa" w:w="3402"/>
          </w:tcPr>
          <w:p>
            <w:pPr>
              <w:spacing w:before="60" w:after="60"/>
            </w:pPr>
            <w:r>
              <w:rPr>
                <w:b w:val="0"/>
                <w:i w:val="0"/>
                <w:color w:val="1C1F26"/>
                <w:sz w:val="18"/>
                <w:rFonts w:ascii="Palatino Linotype" w:hAnsi="Palatino Linotype" w:cs="Palatino Linotype"/>
              </w:rPr>
              <w:t>pack-lcl-investigacion.json</w:t>
            </w:r>
          </w:p>
        </w:tc>
        <w:tc>
          <w:tcPr>
            <w:tcW w:type="dxa" w:w="1020"/>
          </w:tcPr>
          <w:p>
            <w:pPr>
              <w:spacing w:before="60" w:after="60"/>
              <w:jc w:val="center"/>
            </w:pPr>
            <w:r>
              <w:rPr>
                <w:b w:val="0"/>
                <w:i w:val="0"/>
                <w:color w:val="1C1F26"/>
                <w:sz w:val="18"/>
                <w:rFonts w:ascii="Palatino Linotype" w:hAnsi="Palatino Linotype" w:cs="Palatino Linotype"/>
              </w:rPr>
              <w:t>0.7.0</w:t>
            </w:r>
          </w:p>
        </w:tc>
        <w:tc>
          <w:tcPr>
            <w:tcW w:type="dxa" w:w="1247"/>
          </w:tcPr>
          <w:p>
            <w:pPr>
              <w:spacing w:before="60" w:after="60"/>
              <w:jc w:val="center"/>
            </w:pPr>
            <w:r>
              <w:rPr>
                <w:b w:val="0"/>
                <w:i w:val="0"/>
                <w:color w:val="1C1F26"/>
                <w:sz w:val="18"/>
                <w:rFonts w:ascii="Palatino Linotype" w:hAnsi="Palatino Linotype" w:cs="Palatino Linotype"/>
              </w:rPr>
              <w:t>27</w:t>
            </w:r>
          </w:p>
        </w:tc>
        <w:tc>
          <w:tcPr>
            <w:tcW w:type="dxa" w:w="1247"/>
          </w:tcPr>
          <w:p>
            <w:pPr>
              <w:spacing w:before="60" w:after="60"/>
              <w:jc w:val="center"/>
            </w:pPr>
            <w:r>
              <w:rPr>
                <w:b w:val="0"/>
                <w:i w:val="0"/>
                <w:color w:val="1C1F26"/>
                <w:sz w:val="18"/>
                <w:rFonts w:ascii="Palatino Linotype" w:hAnsi="Palatino Linotype" w:cs="Palatino Linotype"/>
              </w:rPr>
              <w:t>5</w:t>
            </w:r>
          </w:p>
        </w:tc>
      </w:tr>
      <w:tr>
        <w:tc>
          <w:tcPr>
            <w:tcW w:type="dxa" w:w="2494"/>
          </w:tcPr>
          <w:p>
            <w:pPr>
              <w:spacing w:before="60" w:after="60"/>
            </w:pPr>
            <w:r>
              <w:rPr>
                <w:b w:val="0"/>
                <w:i w:val="0"/>
                <w:color w:val="1C1F26"/>
                <w:sz w:val="18"/>
                <w:rFonts w:ascii="Palatino Linotype" w:hAnsi="Palatino Linotype" w:cs="Palatino Linotype"/>
              </w:rPr>
              <w:t>Narración</w:t>
            </w:r>
          </w:p>
        </w:tc>
        <w:tc>
          <w:tcPr>
            <w:tcW w:type="dxa" w:w="3402"/>
          </w:tcPr>
          <w:p>
            <w:pPr>
              <w:spacing w:before="60" w:after="60"/>
            </w:pPr>
            <w:r>
              <w:rPr>
                <w:b w:val="0"/>
                <w:i w:val="0"/>
                <w:color w:val="1C1F26"/>
                <w:sz w:val="18"/>
                <w:rFonts w:ascii="Palatino Linotype" w:hAnsi="Palatino Linotype" w:cs="Palatino Linotype"/>
              </w:rPr>
              <w:t>pack-lcl-narracion.json</w:t>
            </w:r>
          </w:p>
        </w:tc>
        <w:tc>
          <w:tcPr>
            <w:tcW w:type="dxa" w:w="1020"/>
          </w:tcPr>
          <w:p>
            <w:pPr>
              <w:spacing w:before="60" w:after="60"/>
              <w:jc w:val="center"/>
            </w:pPr>
            <w:r>
              <w:rPr>
                <w:b w:val="0"/>
                <w:i w:val="0"/>
                <w:color w:val="1C1F26"/>
                <w:sz w:val="18"/>
                <w:rFonts w:ascii="Palatino Linotype" w:hAnsi="Palatino Linotype" w:cs="Palatino Linotype"/>
              </w:rPr>
              <w:t>0.4.0</w:t>
            </w:r>
          </w:p>
        </w:tc>
        <w:tc>
          <w:tcPr>
            <w:tcW w:type="dxa" w:w="1247"/>
          </w:tcPr>
          <w:p>
            <w:pPr>
              <w:spacing w:before="60" w:after="60"/>
              <w:jc w:val="center"/>
            </w:pPr>
            <w:r>
              <w:rPr>
                <w:b w:val="0"/>
                <w:i w:val="0"/>
                <w:color w:val="1C1F26"/>
                <w:sz w:val="18"/>
                <w:rFonts w:ascii="Palatino Linotype" w:hAnsi="Palatino Linotype" w:cs="Palatino Linotype"/>
              </w:rPr>
              <w:t>18</w:t>
            </w:r>
          </w:p>
        </w:tc>
        <w:tc>
          <w:tcPr>
            <w:tcW w:type="dxa" w:w="1247"/>
          </w:tcPr>
          <w:p>
            <w:pPr>
              <w:spacing w:before="60" w:after="60"/>
              <w:jc w:val="center"/>
            </w:pPr>
            <w:r>
              <w:rPr>
                <w:b w:val="0"/>
                <w:i w:val="0"/>
                <w:color w:val="1C1F26"/>
                <w:sz w:val="18"/>
                <w:rFonts w:ascii="Palatino Linotype" w:hAnsi="Palatino Linotype" w:cs="Palatino Linotype"/>
              </w:rPr>
              <w:t>3</w:t>
            </w:r>
          </w:p>
        </w:tc>
      </w:tr>
      <w:tr>
        <w:tc>
          <w:tcPr>
            <w:tcW w:type="dxa" w:w="2494"/>
          </w:tcPr>
          <w:p>
            <w:pPr>
              <w:spacing w:before="60" w:after="60"/>
            </w:pPr>
            <w:r>
              <w:rPr>
                <w:b w:val="0"/>
                <w:i w:val="0"/>
                <w:color w:val="1C1F26"/>
                <w:sz w:val="18"/>
                <w:rFonts w:ascii="Palatino Linotype" w:hAnsi="Palatino Linotype" w:cs="Palatino Linotype"/>
              </w:rPr>
              <w:t>Redacción de una noticia</w:t>
            </w:r>
          </w:p>
        </w:tc>
        <w:tc>
          <w:tcPr>
            <w:tcW w:type="dxa" w:w="3402"/>
          </w:tcPr>
          <w:p>
            <w:pPr>
              <w:spacing w:before="60" w:after="60"/>
            </w:pPr>
            <w:r>
              <w:rPr>
                <w:b w:val="0"/>
                <w:i w:val="0"/>
                <w:color w:val="1C1F26"/>
                <w:sz w:val="18"/>
                <w:rFonts w:ascii="Palatino Linotype" w:hAnsi="Palatino Linotype" w:cs="Palatino Linotype"/>
              </w:rPr>
              <w:t>pack-lcl-noticia.json</w:t>
            </w:r>
          </w:p>
        </w:tc>
        <w:tc>
          <w:tcPr>
            <w:tcW w:type="dxa" w:w="1020"/>
          </w:tcPr>
          <w:p>
            <w:pPr>
              <w:spacing w:before="60" w:after="60"/>
              <w:jc w:val="center"/>
            </w:pPr>
            <w:r>
              <w:rPr>
                <w:b w:val="0"/>
                <w:i w:val="0"/>
                <w:color w:val="1C1F26"/>
                <w:sz w:val="18"/>
                <w:rFonts w:ascii="Palatino Linotype" w:hAnsi="Palatino Linotype" w:cs="Palatino Linotype"/>
              </w:rPr>
              <w:t>0.3.0</w:t>
            </w:r>
          </w:p>
        </w:tc>
        <w:tc>
          <w:tcPr>
            <w:tcW w:type="dxa" w:w="1247"/>
          </w:tcPr>
          <w:p>
            <w:pPr>
              <w:spacing w:before="60" w:after="60"/>
              <w:jc w:val="center"/>
            </w:pPr>
            <w:r>
              <w:rPr>
                <w:b w:val="0"/>
                <w:i w:val="0"/>
                <w:color w:val="1C1F26"/>
                <w:sz w:val="18"/>
                <w:rFonts w:ascii="Palatino Linotype" w:hAnsi="Palatino Linotype" w:cs="Palatino Linotype"/>
              </w:rPr>
              <w:t>24</w:t>
            </w:r>
          </w:p>
        </w:tc>
        <w:tc>
          <w:tcPr>
            <w:tcW w:type="dxa" w:w="1247"/>
          </w:tcPr>
          <w:p>
            <w:pPr>
              <w:spacing w:before="60" w:after="60"/>
              <w:jc w:val="center"/>
            </w:pPr>
            <w:r>
              <w:rPr>
                <w:b w:val="0"/>
                <w:i w:val="0"/>
                <w:color w:val="1C1F26"/>
                <w:sz w:val="18"/>
                <w:rFonts w:ascii="Palatino Linotype" w:hAnsi="Palatino Linotype" w:cs="Palatino Linotype"/>
              </w:rPr>
              <w:t>5</w:t>
            </w:r>
          </w:p>
        </w:tc>
      </w:tr>
      <w:tr>
        <w:tc>
          <w:tcPr>
            <w:tcW w:type="dxa" w:w="2494"/>
          </w:tcPr>
          <w:p>
            <w:pPr>
              <w:spacing w:before="60" w:after="60"/>
            </w:pPr>
            <w:r>
              <w:rPr>
                <w:b w:val="0"/>
                <w:i w:val="0"/>
                <w:color w:val="1C1F26"/>
                <w:sz w:val="18"/>
                <w:rFonts w:ascii="Palatino Linotype" w:hAnsi="Palatino Linotype" w:cs="Palatino Linotype"/>
              </w:rPr>
              <w:t>Exposición oral</w:t>
            </w:r>
          </w:p>
        </w:tc>
        <w:tc>
          <w:tcPr>
            <w:tcW w:type="dxa" w:w="3402"/>
          </w:tcPr>
          <w:p>
            <w:pPr>
              <w:spacing w:before="60" w:after="60"/>
            </w:pPr>
            <w:r>
              <w:rPr>
                <w:b w:val="0"/>
                <w:i w:val="0"/>
                <w:color w:val="1C1F26"/>
                <w:sz w:val="18"/>
                <w:rFonts w:ascii="Palatino Linotype" w:hAnsi="Palatino Linotype" w:cs="Palatino Linotype"/>
              </w:rPr>
              <w:t>pack-lcl-oral.json</w:t>
            </w:r>
          </w:p>
        </w:tc>
        <w:tc>
          <w:tcPr>
            <w:tcW w:type="dxa" w:w="1020"/>
          </w:tcPr>
          <w:p>
            <w:pPr>
              <w:spacing w:before="60" w:after="60"/>
              <w:jc w:val="center"/>
            </w:pPr>
            <w:r>
              <w:rPr>
                <w:b w:val="0"/>
                <w:i w:val="0"/>
                <w:color w:val="1C1F26"/>
                <w:sz w:val="18"/>
                <w:rFonts w:ascii="Palatino Linotype" w:hAnsi="Palatino Linotype" w:cs="Palatino Linotype"/>
              </w:rPr>
              <w:t>0.8.0</w:t>
            </w:r>
          </w:p>
        </w:tc>
        <w:tc>
          <w:tcPr>
            <w:tcW w:type="dxa" w:w="1247"/>
          </w:tcPr>
          <w:p>
            <w:pPr>
              <w:spacing w:before="60" w:after="60"/>
              <w:jc w:val="center"/>
            </w:pPr>
            <w:r>
              <w:rPr>
                <w:b w:val="0"/>
                <w:i w:val="0"/>
                <w:color w:val="1C1F26"/>
                <w:sz w:val="18"/>
                <w:rFonts w:ascii="Palatino Linotype" w:hAnsi="Palatino Linotype" w:cs="Palatino Linotype"/>
              </w:rPr>
              <w:t>36</w:t>
            </w:r>
          </w:p>
        </w:tc>
        <w:tc>
          <w:tcPr>
            <w:tcW w:type="dxa" w:w="1247"/>
          </w:tcPr>
          <w:p>
            <w:pPr>
              <w:spacing w:before="60" w:after="60"/>
              <w:jc w:val="center"/>
            </w:pPr>
            <w:r>
              <w:rPr>
                <w:b w:val="0"/>
                <w:i w:val="0"/>
                <w:color w:val="1C1F26"/>
                <w:sz w:val="18"/>
                <w:rFonts w:ascii="Palatino Linotype" w:hAnsi="Palatino Linotype" w:cs="Palatino Linotype"/>
              </w:rPr>
              <w:t>6</w:t>
            </w:r>
          </w:p>
        </w:tc>
      </w:tr>
      <w:tr>
        <w:tc>
          <w:tcPr>
            <w:tcW w:type="dxa" w:w="2494"/>
          </w:tcPr>
          <w:p>
            <w:pPr>
              <w:spacing w:before="60" w:after="60"/>
            </w:pPr>
            <w:r>
              <w:rPr>
                <w:b w:val="0"/>
                <w:i w:val="0"/>
                <w:color w:val="1C1F26"/>
                <w:sz w:val="18"/>
                <w:rFonts w:ascii="Palatino Linotype" w:hAnsi="Palatino Linotype" w:cs="Palatino Linotype"/>
              </w:rPr>
              <w:t>Reacción a una noticia</w:t>
            </w:r>
          </w:p>
        </w:tc>
        <w:tc>
          <w:tcPr>
            <w:tcW w:type="dxa" w:w="3402"/>
          </w:tcPr>
          <w:p>
            <w:pPr>
              <w:spacing w:before="60" w:after="60"/>
            </w:pPr>
            <w:r>
              <w:rPr>
                <w:b w:val="0"/>
                <w:i w:val="0"/>
                <w:color w:val="1C1F26"/>
                <w:sz w:val="18"/>
                <w:rFonts w:ascii="Palatino Linotype" w:hAnsi="Palatino Linotype" w:cs="Palatino Linotype"/>
              </w:rPr>
              <w:t>pack-lcl-reaccion.json</w:t>
            </w:r>
          </w:p>
        </w:tc>
        <w:tc>
          <w:tcPr>
            <w:tcW w:type="dxa" w:w="1020"/>
          </w:tcPr>
          <w:p>
            <w:pPr>
              <w:spacing w:before="60" w:after="60"/>
              <w:jc w:val="center"/>
            </w:pPr>
            <w:r>
              <w:rPr>
                <w:b w:val="0"/>
                <w:i w:val="0"/>
                <w:color w:val="1C1F26"/>
                <w:sz w:val="18"/>
                <w:rFonts w:ascii="Palatino Linotype" w:hAnsi="Palatino Linotype" w:cs="Palatino Linotype"/>
              </w:rPr>
              <w:t>0.4.0</w:t>
            </w:r>
          </w:p>
        </w:tc>
        <w:tc>
          <w:tcPr>
            <w:tcW w:type="dxa" w:w="1247"/>
          </w:tcPr>
          <w:p>
            <w:pPr>
              <w:spacing w:before="60" w:after="60"/>
              <w:jc w:val="center"/>
            </w:pPr>
            <w:r>
              <w:rPr>
                <w:b w:val="0"/>
                <w:i w:val="0"/>
                <w:color w:val="1C1F26"/>
                <w:sz w:val="18"/>
                <w:rFonts w:ascii="Palatino Linotype" w:hAnsi="Palatino Linotype" w:cs="Palatino Linotype"/>
              </w:rPr>
              <w:t>18</w:t>
            </w:r>
          </w:p>
        </w:tc>
        <w:tc>
          <w:tcPr>
            <w:tcW w:type="dxa" w:w="1247"/>
          </w:tcPr>
          <w:p>
            <w:pPr>
              <w:spacing w:before="60" w:after="60"/>
              <w:jc w:val="center"/>
            </w:pPr>
            <w:r>
              <w:rPr>
                <w:b w:val="0"/>
                <w:i w:val="0"/>
                <w:color w:val="1C1F26"/>
                <w:sz w:val="18"/>
                <w:rFonts w:ascii="Palatino Linotype" w:hAnsi="Palatino Linotype" w:cs="Palatino Linotype"/>
              </w:rPr>
              <w:t>4</w:t>
            </w:r>
          </w:p>
        </w:tc>
      </w:tr>
      <w:tr>
        <w:tc>
          <w:tcPr>
            <w:tcW w:type="dxa" w:w="2494"/>
          </w:tcPr>
          <w:p>
            <w:pPr>
              <w:spacing w:before="60" w:after="60"/>
            </w:pPr>
            <w:r>
              <w:rPr>
                <w:b w:val="0"/>
                <w:i w:val="0"/>
                <w:color w:val="1C1F26"/>
                <w:sz w:val="18"/>
                <w:rFonts w:ascii="Palatino Linotype" w:hAnsi="Palatino Linotype" w:cs="Palatino Linotype"/>
              </w:rPr>
              <w:t>Resumen de un texto</w:t>
            </w:r>
          </w:p>
        </w:tc>
        <w:tc>
          <w:tcPr>
            <w:tcW w:type="dxa" w:w="3402"/>
          </w:tcPr>
          <w:p>
            <w:pPr>
              <w:spacing w:before="60" w:after="60"/>
            </w:pPr>
            <w:r>
              <w:rPr>
                <w:b w:val="0"/>
                <w:i w:val="0"/>
                <w:color w:val="1C1F26"/>
                <w:sz w:val="18"/>
                <w:rFonts w:ascii="Palatino Linotype" w:hAnsi="Palatino Linotype" w:cs="Palatino Linotype"/>
              </w:rPr>
              <w:t>pack-lcl-resumen.json</w:t>
            </w:r>
          </w:p>
        </w:tc>
        <w:tc>
          <w:tcPr>
            <w:tcW w:type="dxa" w:w="1020"/>
          </w:tcPr>
          <w:p>
            <w:pPr>
              <w:spacing w:before="60" w:after="60"/>
              <w:jc w:val="center"/>
            </w:pPr>
            <w:r>
              <w:rPr>
                <w:b w:val="0"/>
                <w:i w:val="0"/>
                <w:color w:val="1C1F26"/>
                <w:sz w:val="18"/>
                <w:rFonts w:ascii="Palatino Linotype" w:hAnsi="Palatino Linotype" w:cs="Palatino Linotype"/>
              </w:rPr>
              <w:t>0.4.0</w:t>
            </w:r>
          </w:p>
        </w:tc>
        <w:tc>
          <w:tcPr>
            <w:tcW w:type="dxa" w:w="1247"/>
          </w:tcPr>
          <w:p>
            <w:pPr>
              <w:spacing w:before="60" w:after="60"/>
              <w:jc w:val="center"/>
            </w:pPr>
            <w:r>
              <w:rPr>
                <w:b w:val="0"/>
                <w:i w:val="0"/>
                <w:color w:val="1C1F26"/>
                <w:sz w:val="18"/>
                <w:rFonts w:ascii="Palatino Linotype" w:hAnsi="Palatino Linotype" w:cs="Palatino Linotype"/>
              </w:rPr>
              <w:t>20</w:t>
            </w:r>
          </w:p>
        </w:tc>
        <w:tc>
          <w:tcPr>
            <w:tcW w:type="dxa" w:w="1247"/>
          </w:tcPr>
          <w:p>
            <w:pPr>
              <w:spacing w:before="60" w:after="60"/>
              <w:jc w:val="center"/>
            </w:pPr>
            <w:r>
              <w:rPr>
                <w:b w:val="0"/>
                <w:i w:val="0"/>
                <w:color w:val="1C1F26"/>
                <w:sz w:val="18"/>
                <w:rFonts w:ascii="Palatino Linotype" w:hAnsi="Palatino Linotype" w:cs="Palatino Linotype"/>
              </w:rPr>
              <w:t>4</w:t>
            </w:r>
          </w:p>
        </w:tc>
      </w:tr>
      <w:tr>
        <w:tc>
          <w:tcPr>
            <w:tcW w:type="dxa" w:w="2494"/>
          </w:tcPr>
          <w:p>
            <w:pPr>
              <w:spacing w:before="60" w:after="60"/>
            </w:pPr>
            <w:r>
              <w:rPr>
                <w:b/>
                <w:i w:val="0"/>
                <w:color w:val="1C1F26"/>
                <w:sz w:val="18"/>
                <w:rFonts w:ascii="Palatino Linotype" w:hAnsi="Palatino Linotype" w:cs="Palatino Linotype"/>
              </w:rPr>
              <w:t>TOTAL</w:t>
            </w:r>
          </w:p>
        </w:tc>
        <w:tc>
          <w:tcPr>
            <w:tcW w:type="dxa" w:w="3402"/>
          </w:tcPr>
          <w:p>
            <w:pPr>
              <w:spacing w:before="60" w:after="60"/>
            </w:pPr>
          </w:p>
        </w:tc>
        <w:tc>
          <w:tcPr>
            <w:tcW w:type="dxa" w:w="1020"/>
          </w:tcPr>
          <w:p>
            <w:pPr>
              <w:spacing w:before="60" w:after="60"/>
              <w:jc w:val="center"/>
            </w:pPr>
          </w:p>
        </w:tc>
        <w:tc>
          <w:tcPr>
            <w:tcW w:type="dxa" w:w="1247"/>
          </w:tcPr>
          <w:p>
            <w:pPr>
              <w:spacing w:before="60" w:after="60"/>
              <w:jc w:val="center"/>
            </w:pPr>
            <w:r>
              <w:rPr>
                <w:b/>
                <w:i w:val="0"/>
                <w:color w:val="1C1F26"/>
                <w:sz w:val="18"/>
                <w:rFonts w:ascii="Palatino Linotype" w:hAnsi="Palatino Linotype" w:cs="Palatino Linotype"/>
              </w:rPr>
              <w:t>249</w:t>
            </w:r>
          </w:p>
        </w:tc>
        <w:tc>
          <w:tcPr>
            <w:tcW w:type="dxa" w:w="1247"/>
          </w:tcPr>
          <w:p>
            <w:pPr>
              <w:spacing w:before="60" w:after="60"/>
              <w:jc w:val="center"/>
            </w:pPr>
          </w:p>
        </w:tc>
      </w:tr>
    </w:tbl>
    <w:p>
      <w:pPr>
        <w:spacing w:after="0"/>
      </w:pPr>
    </w:p>
    <w:p>
      <w:pPr>
        <w:keepNext/>
        <w:spacing w:before="260" w:after="60"/>
      </w:pPr>
      <w:r>
        <w:rPr>
          <w:b/>
          <w:i w:val="0"/>
          <w:color w:val="1C1F26"/>
          <w:sz w:val="23"/>
          <w:rFonts w:ascii="Palatino Linotype" w:hAnsi="Palatino Linotype" w:cs="Palatino Linotype"/>
        </w:rPr>
        <w:t>4.2 El criterio</w:t>
      </w:r>
    </w:p>
    <w:p>
      <w:pPr>
        <w:jc w:val="both"/>
      </w:pPr>
      <w:r>
        <w:rPr>
          <w:b w:val="0"/>
          <w:i w:val="0"/>
          <w:color w:val="1C1F26"/>
          <w:sz w:val="21"/>
          <w:rFonts w:ascii="Palatino Linotype" w:hAnsi="Palatino Linotype" w:cs="Palatino Linotype"/>
        </w:rPr>
        <w:t xml:space="preserve">Es la unidad de la obra. Un criterio no es una fila de tabla: es un registro que </w:t>
      </w:r>
      <w:r>
        <w:rPr>
          <w:b/>
          <w:i w:val="0"/>
          <w:color w:val="1C1F26"/>
          <w:sz w:val="21"/>
          <w:rFonts w:ascii="Palatino Linotype" w:hAnsi="Palatino Linotype" w:cs="Palatino Linotype"/>
        </w:rPr>
        <w:t>ata una dimensión evaluable a una cita literal del decreto</w:t>
      </w:r>
      <w:r>
        <w:rPr>
          <w:b w:val="0"/>
          <w:i w:val="0"/>
          <w:color w:val="1C1F26"/>
          <w:sz w:val="21"/>
          <w:rFonts w:ascii="Palatino Linotype" w:hAnsi="Palatino Linotype" w:cs="Palatino Linotype"/>
        </w:rPr>
        <w:t xml:space="preserve"> y declara su posición en los tres ejes de progresión. Fragmento real, abreviado:</w:t>
      </w:r>
    </w:p>
    <w:p>
      <w:pPr>
        <w:spacing w:after="0" w:line="240" w:lineRule="auto"/>
        <w:shd w:val="clear" w:fill="F7F6F3"/>
      </w:pPr>
      <w:r>
        <w:rPr>
          <w:b w:val="0"/>
          <w:i w:val="0"/>
          <w:color w:val="4A4F5A"/>
          <w:sz w:val="15"/>
          <w:rFonts w:ascii="Consolas" w:hAnsi="Consolas" w:cs="Consolas"/>
        </w:rPr>
        <w:t>{</w:t>
      </w:r>
    </w:p>
    <w:p>
      <w:pPr>
        <w:spacing w:after="0" w:line="240" w:lineRule="auto"/>
        <w:shd w:val="clear" w:fill="F7F6F3"/>
      </w:pPr>
      <w:r>
        <w:rPr>
          <w:b w:val="0"/>
          <w:i w:val="0"/>
          <w:color w:val="4A4F5A"/>
          <w:sz w:val="15"/>
          <w:rFonts w:ascii="Consolas" w:hAnsi="Consolas" w:cs="Consolas"/>
        </w:rPr>
        <w:t xml:space="preserve">  "id": "lcl-b-cohesion-3eso",</w:t>
      </w:r>
    </w:p>
    <w:p>
      <w:pPr>
        <w:spacing w:after="0" w:line="240" w:lineRule="auto"/>
        <w:shd w:val="clear" w:fill="F7F6F3"/>
      </w:pPr>
      <w:r>
        <w:rPr>
          <w:b w:val="0"/>
          <w:i w:val="0"/>
          <w:color w:val="4A4F5A"/>
          <w:sz w:val="15"/>
          <w:rFonts w:ascii="Consolas" w:hAnsi="Consolas" w:cs="Consolas"/>
        </w:rPr>
        <w:t xml:space="preserve">  "bloque_lomloe": "B",</w:t>
      </w:r>
    </w:p>
    <w:p>
      <w:pPr>
        <w:spacing w:after="0" w:line="240" w:lineRule="auto"/>
        <w:shd w:val="clear" w:fill="F7F6F3"/>
      </w:pPr>
      <w:r>
        <w:rPr>
          <w:b w:val="0"/>
          <w:i w:val="0"/>
          <w:color w:val="4A4F5A"/>
          <w:sz w:val="15"/>
          <w:rFonts w:ascii="Consolas" w:hAnsi="Consolas" w:cs="Consolas"/>
        </w:rPr>
        <w:t xml:space="preserve">  "dimension": "cohesion",</w:t>
      </w:r>
    </w:p>
    <w:p>
      <w:pPr>
        <w:spacing w:after="0" w:line="240" w:lineRule="auto"/>
        <w:shd w:val="clear" w:fill="F7F6F3"/>
      </w:pPr>
      <w:r>
        <w:rPr>
          <w:b w:val="0"/>
          <w:i w:val="0"/>
          <w:color w:val="4A4F5A"/>
          <w:sz w:val="15"/>
          <w:rFonts w:ascii="Consolas" w:hAnsi="Consolas" w:cs="Consolas"/>
        </w:rPr>
        <w:t xml:space="preserve">  "nombre": "Cohesión: conectores y puntuación",</w:t>
      </w:r>
    </w:p>
    <w:p>
      <w:pPr>
        <w:spacing w:after="0" w:line="240" w:lineRule="auto"/>
        <w:shd w:val="clear" w:fill="F7F6F3"/>
      </w:pPr>
      <w:r>
        <w:rPr>
          <w:b w:val="0"/>
          <w:i w:val="0"/>
          <w:color w:val="4A4F5A"/>
          <w:sz w:val="15"/>
          <w:rFonts w:ascii="Consolas" w:hAnsi="Consolas" w:cs="Consolas"/>
        </w:rPr>
        <w:t xml:space="preserve">  "curso": "3ESO",</w:t>
      </w:r>
    </w:p>
    <w:p>
      <w:pPr>
        <w:spacing w:after="0" w:line="240" w:lineRule="auto"/>
        <w:shd w:val="clear" w:fill="F7F6F3"/>
      </w:pPr>
      <w:r>
        <w:rPr>
          <w:b w:val="0"/>
          <w:i w:val="0"/>
          <w:color w:val="4A4F5A"/>
          <w:sz w:val="15"/>
          <w:rFonts w:ascii="Consolas" w:hAnsi="Consolas" w:cs="Consolas"/>
        </w:rPr>
        <w:t xml:space="preserve"> </w:t>
      </w:r>
    </w:p>
    <w:p>
      <w:pPr>
        <w:spacing w:after="0" w:line="240" w:lineRule="auto"/>
        <w:shd w:val="clear" w:fill="F7F6F3"/>
      </w:pPr>
      <w:r>
        <w:rPr>
          <w:b w:val="0"/>
          <w:i w:val="0"/>
          <w:color w:val="4A4F5A"/>
          <w:sz w:val="15"/>
          <w:rFonts w:ascii="Consolas" w:hAnsi="Consolas" w:cs="Consolas"/>
        </w:rPr>
        <w:t xml:space="preserve">  "criterio_oficial": {</w:t>
      </w:r>
    </w:p>
    <w:p>
      <w:pPr>
        <w:spacing w:after="0" w:line="240" w:lineRule="auto"/>
        <w:shd w:val="clear" w:fill="F7F6F3"/>
      </w:pPr>
      <w:r>
        <w:rPr>
          <w:b w:val="0"/>
          <w:i w:val="0"/>
          <w:color w:val="4A4F5A"/>
          <w:sz w:val="15"/>
          <w:rFonts w:ascii="Consolas" w:hAnsi="Consolas" w:cs="Consolas"/>
        </w:rPr>
        <w:t xml:space="preserve">    "competencia_especifica": 5,</w:t>
      </w:r>
    </w:p>
    <w:p>
      <w:pPr>
        <w:spacing w:after="0" w:line="240" w:lineRule="auto"/>
        <w:shd w:val="clear" w:fill="F7F6F3"/>
      </w:pPr>
      <w:r>
        <w:rPr>
          <w:b w:val="0"/>
          <w:i w:val="0"/>
          <w:color w:val="4A4F5A"/>
          <w:sz w:val="15"/>
          <w:rFonts w:ascii="Consolas" w:hAnsi="Consolas" w:cs="Consolas"/>
        </w:rPr>
        <w:t xml:space="preserve">    "codigo": "5.2",</w:t>
      </w:r>
    </w:p>
    <w:p>
      <w:pPr>
        <w:spacing w:after="0" w:line="240" w:lineRule="auto"/>
        <w:shd w:val="clear" w:fill="F7F6F3"/>
      </w:pPr>
      <w:r>
        <w:rPr>
          <w:b w:val="0"/>
          <w:i w:val="0"/>
          <w:color w:val="4A4F5A"/>
          <w:sz w:val="15"/>
          <w:rFonts w:ascii="Consolas" w:hAnsi="Consolas" w:cs="Consolas"/>
        </w:rPr>
        <w:t xml:space="preserve">    "cita": "Producir textos escritos y multimodales coherentes, cohesionados,</w:t>
      </w:r>
    </w:p>
    <w:p>
      <w:pPr>
        <w:spacing w:after="0" w:line="240" w:lineRule="auto"/>
        <w:shd w:val="clear" w:fill="F7F6F3"/>
      </w:pPr>
      <w:r>
        <w:rPr>
          <w:b w:val="0"/>
          <w:i w:val="0"/>
          <w:color w:val="4A4F5A"/>
          <w:sz w:val="15"/>
          <w:rFonts w:ascii="Consolas" w:hAnsi="Consolas" w:cs="Consolas"/>
        </w:rPr>
        <w:t xml:space="preserve">             adecuados y correctos...",</w:t>
      </w:r>
    </w:p>
    <w:p>
      <w:pPr>
        <w:spacing w:after="0" w:line="240" w:lineRule="auto"/>
        <w:shd w:val="clear" w:fill="F7F6F3"/>
      </w:pPr>
      <w:r>
        <w:rPr>
          <w:b w:val="0"/>
          <w:i w:val="0"/>
          <w:color w:val="4A4F5A"/>
          <w:sz w:val="15"/>
          <w:rFonts w:ascii="Consolas" w:hAnsi="Consolas" w:cs="Consolas"/>
        </w:rPr>
        <w:t xml:space="preserve">    "perfil_salida": ["CCL1", "CCL3", "CCL5"]</w:t>
      </w:r>
    </w:p>
    <w:p>
      <w:pPr>
        <w:spacing w:after="0" w:line="240" w:lineRule="auto"/>
        <w:shd w:val="clear" w:fill="F7F6F3"/>
      </w:pPr>
      <w:r>
        <w:rPr>
          <w:b w:val="0"/>
          <w:i w:val="0"/>
          <w:color w:val="4A4F5A"/>
          <w:sz w:val="15"/>
          <w:rFonts w:ascii="Consolas" w:hAnsi="Consolas" w:cs="Consolas"/>
        </w:rPr>
        <w:t xml:space="preserve">  },</w:t>
      </w:r>
    </w:p>
    <w:p>
      <w:pPr>
        <w:spacing w:after="0" w:line="240" w:lineRule="auto"/>
        <w:shd w:val="clear" w:fill="F7F6F3"/>
      </w:pPr>
      <w:r>
        <w:rPr>
          <w:b w:val="0"/>
          <w:i w:val="0"/>
          <w:color w:val="4A4F5A"/>
          <w:sz w:val="15"/>
          <w:rFonts w:ascii="Consolas" w:hAnsi="Consolas" w:cs="Consolas"/>
        </w:rPr>
        <w:t xml:space="preserve"> </w:t>
      </w:r>
    </w:p>
    <w:p>
      <w:pPr>
        <w:spacing w:after="0" w:line="240" w:lineRule="auto"/>
        <w:shd w:val="clear" w:fill="F7F6F3"/>
      </w:pPr>
      <w:r>
        <w:rPr>
          <w:b w:val="0"/>
          <w:i w:val="0"/>
          <w:color w:val="4A4F5A"/>
          <w:sz w:val="15"/>
          <w:rFonts w:ascii="Consolas" w:hAnsi="Consolas" w:cs="Consolas"/>
        </w:rPr>
        <w:t xml:space="preserve">  "saber_vehiculo": ["texto argumentativo", "marcadores discursivos"],</w:t>
      </w:r>
    </w:p>
    <w:p>
      <w:pPr>
        <w:spacing w:after="0" w:line="240" w:lineRule="auto"/>
        <w:shd w:val="clear" w:fill="F7F6F3"/>
      </w:pPr>
      <w:r>
        <w:rPr>
          <w:b w:val="0"/>
          <w:i w:val="0"/>
          <w:color w:val="4A4F5A"/>
          <w:sz w:val="15"/>
          <w:rFonts w:ascii="Consolas" w:hAnsi="Consolas" w:cs="Consolas"/>
        </w:rPr>
        <w:t xml:space="preserve">  "progresion": { "autonomia": 2, "complejidad": 2, "metalinguistico": 1 },</w:t>
      </w:r>
    </w:p>
    <w:p>
      <w:pPr>
        <w:spacing w:after="0" w:line="240" w:lineRule="auto"/>
        <w:shd w:val="clear" w:fill="F7F6F3"/>
      </w:pPr>
      <w:r>
        <w:rPr>
          <w:b w:val="0"/>
          <w:i w:val="0"/>
          <w:color w:val="4A4F5A"/>
          <w:sz w:val="15"/>
          <w:rFonts w:ascii="Consolas" w:hAnsi="Consolas" w:cs="Consolas"/>
        </w:rPr>
        <w:t xml:space="preserve">  "tipos_tarea": ["argumentativo", "expositivo"],</w:t>
      </w:r>
    </w:p>
    <w:p>
      <w:pPr>
        <w:spacing w:after="0" w:line="240" w:lineRule="auto"/>
        <w:shd w:val="clear" w:fill="F7F6F3"/>
      </w:pPr>
      <w:r>
        <w:rPr>
          <w:b w:val="0"/>
          <w:i w:val="0"/>
          <w:color w:val="4A4F5A"/>
          <w:sz w:val="15"/>
          <w:rFonts w:ascii="Consolas" w:hAnsi="Consolas" w:cs="Consolas"/>
        </w:rPr>
        <w:t xml:space="preserve">  "evalua_proceso": false,  "obligatorio": false,</w:t>
      </w:r>
    </w:p>
    <w:p>
      <w:pPr>
        <w:spacing w:after="0" w:line="240" w:lineRule="auto"/>
        <w:shd w:val="clear" w:fill="F7F6F3"/>
      </w:pPr>
      <w:r>
        <w:rPr>
          <w:b w:val="0"/>
          <w:i w:val="0"/>
          <w:color w:val="4A4F5A"/>
          <w:sz w:val="15"/>
          <w:rFonts w:ascii="Consolas" w:hAnsi="Consolas" w:cs="Consolas"/>
        </w:rPr>
        <w:t xml:space="preserve">  "prioridad": 1,           "peso_base": 20,</w:t>
      </w:r>
    </w:p>
    <w:p>
      <w:pPr>
        <w:spacing w:after="0" w:line="240" w:lineRule="auto"/>
        <w:shd w:val="clear" w:fill="F7F6F3"/>
      </w:pPr>
      <w:r>
        <w:rPr>
          <w:b w:val="0"/>
          <w:i w:val="0"/>
          <w:color w:val="4A4F5A"/>
          <w:sz w:val="15"/>
          <w:rFonts w:ascii="Consolas" w:hAnsi="Consolas" w:cs="Consolas"/>
        </w:rPr>
        <w:t xml:space="preserve"> </w:t>
      </w:r>
    </w:p>
    <w:p>
      <w:pPr>
        <w:spacing w:after="0" w:line="240" w:lineRule="auto"/>
        <w:shd w:val="clear" w:fill="F7F6F3"/>
      </w:pPr>
      <w:r>
        <w:rPr>
          <w:b w:val="0"/>
          <w:i w:val="0"/>
          <w:color w:val="4A4F5A"/>
          <w:sz w:val="15"/>
          <w:rFonts w:ascii="Consolas" w:hAnsi="Consolas" w:cs="Consolas"/>
        </w:rPr>
        <w:t xml:space="preserve">  "descriptores": {</w:t>
      </w:r>
    </w:p>
    <w:p>
      <w:pPr>
        <w:spacing w:after="0" w:line="240" w:lineRule="auto"/>
        <w:shd w:val="clear" w:fill="F7F6F3"/>
      </w:pPr>
      <w:r>
        <w:rPr>
          <w:b w:val="0"/>
          <w:i w:val="0"/>
          <w:color w:val="4A4F5A"/>
          <w:sz w:val="15"/>
          <w:rFonts w:ascii="Consolas" w:hAnsi="Consolas" w:cs="Consolas"/>
        </w:rPr>
        <w:t xml:space="preserve">    "n1": { "verbo": "utiliza",  "texto": "Utiliza conectores de adición de forma</w:t>
      </w:r>
    </w:p>
    <w:p>
      <w:pPr>
        <w:spacing w:after="0" w:line="240" w:lineRule="auto"/>
        <w:shd w:val="clear" w:fill="F7F6F3"/>
      </w:pPr>
      <w:r>
        <w:rPr>
          <w:b w:val="0"/>
          <w:i w:val="0"/>
          <w:color w:val="4A4F5A"/>
          <w:sz w:val="15"/>
          <w:rFonts w:ascii="Consolas" w:hAnsi="Consolas" w:cs="Consolas"/>
        </w:rPr>
        <w:t xml:space="preserve">             repetitiva, lo que produce saltos entre las ideas del texto." },</w:t>
      </w:r>
    </w:p>
    <w:p>
      <w:pPr>
        <w:spacing w:after="0" w:line="240" w:lineRule="auto"/>
        <w:shd w:val="clear" w:fill="F7F6F3"/>
      </w:pPr>
      <w:r>
        <w:rPr>
          <w:b w:val="0"/>
          <w:i w:val="0"/>
          <w:color w:val="4A4F5A"/>
          <w:sz w:val="15"/>
          <w:rFonts w:ascii="Consolas" w:hAnsi="Consolas" w:cs="Consolas"/>
        </w:rPr>
        <w:t xml:space="preserve">    "n2": { "verbo": "utiliza",  "texto": "Utiliza conectores básicos de causa y</w:t>
      </w:r>
    </w:p>
    <w:p>
      <w:pPr>
        <w:spacing w:after="0" w:line="240" w:lineRule="auto"/>
        <w:shd w:val="clear" w:fill="F7F6F3"/>
      </w:pPr>
      <w:r>
        <w:rPr>
          <w:b w:val="0"/>
          <w:i w:val="0"/>
          <w:color w:val="4A4F5A"/>
          <w:sz w:val="15"/>
          <w:rFonts w:ascii="Consolas" w:hAnsi="Consolas" w:cs="Consolas"/>
        </w:rPr>
        <w:t xml:space="preserve">             oposición para enlazar las ideas principales del texto." },</w:t>
      </w:r>
    </w:p>
    <w:p>
      <w:pPr>
        <w:spacing w:after="0" w:line="240" w:lineRule="auto"/>
        <w:shd w:val="clear" w:fill="F7F6F3"/>
      </w:pPr>
      <w:r>
        <w:rPr>
          <w:b w:val="0"/>
          <w:i w:val="0"/>
          <w:color w:val="4A4F5A"/>
          <w:sz w:val="15"/>
          <w:rFonts w:ascii="Consolas" w:hAnsi="Consolas" w:cs="Consolas"/>
        </w:rPr>
        <w:t xml:space="preserve">    "n3": { "verbo": "emplea",   "texto": "Emplea conectores de causa, consecuencia</w:t>
      </w:r>
    </w:p>
    <w:p>
      <w:pPr>
        <w:spacing w:after="0" w:line="240" w:lineRule="auto"/>
        <w:shd w:val="clear" w:fill="F7F6F3"/>
      </w:pPr>
      <w:r>
        <w:rPr>
          <w:b w:val="0"/>
          <w:i w:val="0"/>
          <w:color w:val="4A4F5A"/>
          <w:sz w:val="15"/>
          <w:rFonts w:ascii="Consolas" w:hAnsi="Consolas" w:cs="Consolas"/>
        </w:rPr>
        <w:t xml:space="preserve">             y oposición, y delimita con la puntuación los incisos." },</w:t>
      </w:r>
    </w:p>
    <w:p>
      <w:pPr>
        <w:spacing w:after="0" w:line="240" w:lineRule="auto"/>
        <w:shd w:val="clear" w:fill="F7F6F3"/>
      </w:pPr>
      <w:r>
        <w:rPr>
          <w:b w:val="0"/>
          <w:i w:val="0"/>
          <w:color w:val="4A4F5A"/>
          <w:sz w:val="15"/>
          <w:rFonts w:ascii="Consolas" w:hAnsi="Consolas" w:cs="Consolas"/>
        </w:rPr>
        <w:t xml:space="preserve">    "n4": { "verbo": "articula", "texto": "Articula la lógica argumentativa mediante</w:t>
      </w:r>
    </w:p>
    <w:p>
      <w:pPr>
        <w:spacing w:after="0" w:line="240" w:lineRule="auto"/>
        <w:shd w:val="clear" w:fill="F7F6F3"/>
      </w:pPr>
      <w:r>
        <w:rPr>
          <w:b w:val="0"/>
          <w:i w:val="0"/>
          <w:color w:val="4A4F5A"/>
          <w:sz w:val="15"/>
          <w:rFonts w:ascii="Consolas" w:hAnsi="Consolas" w:cs="Consolas"/>
        </w:rPr>
        <w:t xml:space="preserve">             marcadores variados y sostiene la cohesión con anáforas sin ambigüedad." }</w:t>
      </w:r>
    </w:p>
    <w:p>
      <w:pPr>
        <w:spacing w:after="0" w:line="240" w:lineRule="auto"/>
        <w:shd w:val="clear" w:fill="F7F6F3"/>
      </w:pPr>
      <w:r>
        <w:rPr>
          <w:b w:val="0"/>
          <w:i w:val="0"/>
          <w:color w:val="4A4F5A"/>
          <w:sz w:val="15"/>
          <w:rFonts w:ascii="Consolas" w:hAnsi="Consolas" w:cs="Consolas"/>
        </w:rPr>
        <w:t xml:space="preserve">  }</w:t>
      </w:r>
    </w:p>
    <w:p>
      <w:pPr>
        <w:spacing w:after="160" w:line="240" w:lineRule="auto"/>
        <w:shd w:val="clear" w:fill="F7F6F3"/>
      </w:pPr>
      <w:r>
        <w:rPr>
          <w:b w:val="0"/>
          <w:i w:val="0"/>
          <w:color w:val="4A4F5A"/>
          <w:sz w:val="15"/>
          <w:rFonts w:ascii="Consolas" w:hAnsi="Consolas" w:cs="Consolas"/>
        </w:rPr>
        <w:t>}</w:t>
      </w:r>
    </w:p>
    <w:p>
      <w:pPr>
        <w:jc w:val="both"/>
      </w:pPr>
      <w:r>
        <w:rPr>
          <w:b w:val="0"/>
          <w:i w:val="0"/>
          <w:color w:val="1C1F26"/>
          <w:sz w:val="21"/>
          <w:rFonts w:ascii="Palatino Linotype" w:hAnsi="Palatino Linotype" w:cs="Palatino Linotype"/>
        </w:rPr>
        <w:t xml:space="preserve">Tres campos son de diseño propio y sostienen todo lo demás. </w:t>
      </w:r>
      <w:r>
        <w:rPr>
          <w:b/>
          <w:i w:val="0"/>
          <w:color w:val="1C1F26"/>
          <w:sz w:val="21"/>
          <w:rFonts w:ascii="Palatino Linotype" w:hAnsi="Palatino Linotype" w:cs="Palatino Linotype"/>
        </w:rPr>
        <w:t>`criterio_oficial`</w:t>
      </w:r>
      <w:r>
        <w:rPr>
          <w:b w:val="0"/>
          <w:i w:val="0"/>
          <w:color w:val="1C1F26"/>
          <w:sz w:val="21"/>
          <w:rFonts w:ascii="Palatino Linotype" w:hAnsi="Palatino Linotype" w:cs="Palatino Linotype"/>
        </w:rPr>
        <w:t xml:space="preserve"> es la puerta: sin él el criterio no carga. </w:t>
      </w:r>
      <w:r>
        <w:rPr>
          <w:b/>
          <w:i w:val="0"/>
          <w:color w:val="1C1F26"/>
          <w:sz w:val="21"/>
          <w:rFonts w:ascii="Palatino Linotype" w:hAnsi="Palatino Linotype" w:cs="Palatino Linotype"/>
        </w:rPr>
        <w:t>`saber_vehiculo`</w:t>
      </w:r>
      <w:r>
        <w:rPr>
          <w:b w:val="0"/>
          <w:i w:val="0"/>
          <w:color w:val="1C1F26"/>
          <w:sz w:val="21"/>
          <w:rFonts w:ascii="Palatino Linotype" w:hAnsi="Palatino Linotype" w:cs="Palatino Linotype"/>
        </w:rPr>
        <w:t xml:space="preserve"> separa el contenido que la tarea vehicula del nombre de la dimensión, que ha de ser una acción competencial y no un tema. </w:t>
      </w:r>
      <w:r>
        <w:rPr>
          <w:b/>
          <w:i w:val="0"/>
          <w:color w:val="1C1F26"/>
          <w:sz w:val="21"/>
          <w:rFonts w:ascii="Palatino Linotype" w:hAnsi="Palatino Linotype" w:cs="Palatino Linotype"/>
        </w:rPr>
        <w:t>`progresion`</w:t>
      </w:r>
      <w:r>
        <w:rPr>
          <w:b w:val="0"/>
          <w:i w:val="0"/>
          <w:color w:val="1C1F26"/>
          <w:sz w:val="21"/>
          <w:rFonts w:ascii="Palatino Linotype" w:hAnsi="Palatino Linotype" w:cs="Palatino Linotype"/>
        </w:rPr>
        <w:t xml:space="preserve"> sitúa el criterio en los tres ejes —autonomía, complejidad y reflexión metalingüística— que permiten comprobar que un instrumento no mezcla peldaños incompatibles.</w:t>
      </w:r>
    </w:p>
    <w:p>
      <w:pPr>
        <w:jc w:val="both"/>
      </w:pPr>
      <w:r>
        <w:rPr>
          <w:b w:val="0"/>
          <w:i w:val="0"/>
          <w:color w:val="1C1F26"/>
          <w:sz w:val="21"/>
          <w:rFonts w:ascii="Palatino Linotype" w:hAnsi="Palatino Linotype" w:cs="Palatino Linotype"/>
        </w:rPr>
        <w:t xml:space="preserve">El conjunto suma </w:t>
      </w:r>
      <w:r>
        <w:rPr>
          <w:b/>
          <w:i w:val="0"/>
          <w:color w:val="1C1F26"/>
          <w:sz w:val="21"/>
          <w:rFonts w:ascii="Palatino Linotype" w:hAnsi="Palatino Linotype" w:cs="Palatino Linotype"/>
        </w:rPr>
        <w:t>996 descriptores</w:t>
      </w:r>
      <w:r>
        <w:rPr>
          <w:b w:val="0"/>
          <w:i w:val="0"/>
          <w:color w:val="1C1F26"/>
          <w:sz w:val="21"/>
          <w:rFonts w:ascii="Palatino Linotype" w:hAnsi="Palatino Linotype" w:cs="Palatino Linotype"/>
        </w:rPr>
        <w:t xml:space="preserve"> repartidos en </w:t>
      </w:r>
      <w:r>
        <w:rPr>
          <w:b/>
          <w:i w:val="0"/>
          <w:color w:val="1C1F26"/>
          <w:sz w:val="21"/>
          <w:rFonts w:ascii="Palatino Linotype" w:hAnsi="Palatino Linotype" w:cs="Palatino Linotype"/>
        </w:rPr>
        <w:t>67 dimensiones distintas</w:t>
      </w:r>
      <w:r>
        <w:rPr>
          <w:b w:val="0"/>
          <w:i w:val="0"/>
          <w:color w:val="1C1F26"/>
          <w:sz w:val="21"/>
          <w:rFonts w:ascii="Palatino Linotype" w:hAnsi="Palatino Linotype" w:cs="Palatino Linotype"/>
        </w:rPr>
        <w:t xml:space="preserve">, sobre </w:t>
      </w:r>
      <w:r>
        <w:rPr>
          <w:b/>
          <w:i w:val="0"/>
          <w:color w:val="1C1F26"/>
          <w:sz w:val="21"/>
          <w:rFonts w:ascii="Palatino Linotype" w:hAnsi="Palatino Linotype" w:cs="Palatino Linotype"/>
        </w:rPr>
        <w:t>55 pares de criterio oficial y curso</w:t>
      </w:r>
      <w:r>
        <w:rPr>
          <w:b w:val="0"/>
          <w:i w:val="0"/>
          <w:color w:val="1C1F26"/>
          <w:sz w:val="21"/>
          <w:rFonts w:ascii="Palatino Linotype" w:hAnsi="Palatino Linotype" w:cs="Palatino Linotype"/>
        </w:rPr>
        <w:t xml:space="preserve"> citados literalmente.</w:t>
      </w:r>
    </w:p>
    <w:p>
      <w:pPr>
        <w:keepNext/>
        <w:spacing w:before="260" w:after="60"/>
      </w:pPr>
      <w:r>
        <w:rPr>
          <w:b/>
          <w:i w:val="0"/>
          <w:color w:val="1C1F26"/>
          <w:sz w:val="23"/>
          <w:rFonts w:ascii="Palatino Linotype" w:hAnsi="Palatino Linotype" w:cs="Palatino Linotype"/>
        </w:rPr>
        <w:t>4.3 La matriz cuantitativa</w:t>
      </w:r>
    </w:p>
    <w:p>
      <w:pPr>
        <w:jc w:val="both"/>
      </w:pPr>
      <w:r>
        <w:rPr>
          <w:b w:val="0"/>
          <w:i w:val="0"/>
          <w:color w:val="1C1F26"/>
          <w:sz w:val="21"/>
          <w:rFonts w:ascii="Palatino Linotype" w:hAnsi="Palatino Linotype" w:cs="Palatino Linotype"/>
        </w:rPr>
        <w:t>Cuando una dimensión admite corrección medible, el criterio añade una matriz de componentes y bandas contables. Es la estructura que convierte «emplea conectores variados» —que no es verificable— en «3,0 puntos si emplea cuatro o más tipos distintos de marcador; 2,0 si emplea dos o tres», que sí lo es.</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3137"/>
        <w:gridCol w:w="3137"/>
        <w:gridCol w:w="3137"/>
      </w:tblGrid>
      <w:tr>
        <w:tc>
          <w:tcPr>
            <w:tcW w:type="dxa" w:w="3061"/>
            <w:shd w:val="clear" w:fill="F4F2EE"/>
          </w:tcPr>
          <w:p>
            <w:pPr>
              <w:spacing w:before="60" w:after="60"/>
            </w:pPr>
            <w:r>
              <w:rPr>
                <w:b/>
                <w:i w:val="0"/>
                <w:color w:val="1C1F26"/>
                <w:sz w:val="18"/>
                <w:rFonts w:ascii="Palatino Linotype" w:hAnsi="Palatino Linotype" w:cs="Palatino Linotype"/>
              </w:rPr>
              <w:t>Elemento</w:t>
            </w:r>
          </w:p>
        </w:tc>
        <w:tc>
          <w:tcPr>
            <w:tcW w:type="dxa" w:w="1701"/>
            <w:shd w:val="clear" w:fill="F4F2EE"/>
          </w:tcPr>
          <w:p>
            <w:pPr>
              <w:spacing w:before="60" w:after="60"/>
              <w:jc w:val="center"/>
            </w:pPr>
            <w:r>
              <w:rPr>
                <w:b/>
                <w:i w:val="0"/>
                <w:color w:val="1C1F26"/>
                <w:sz w:val="18"/>
                <w:rFonts w:ascii="Palatino Linotype" w:hAnsi="Palatino Linotype" w:cs="Palatino Linotype"/>
              </w:rPr>
              <w:t>Recuento</w:t>
            </w:r>
          </w:p>
        </w:tc>
        <w:tc>
          <w:tcPr>
            <w:tcW w:type="dxa" w:w="4649"/>
            <w:shd w:val="clear" w:fill="F4F2EE"/>
          </w:tcPr>
          <w:p>
            <w:pPr>
              <w:spacing w:before="60" w:after="60"/>
              <w:jc w:val="center"/>
            </w:pPr>
            <w:r>
              <w:rPr>
                <w:b/>
                <w:i w:val="0"/>
                <w:color w:val="1C1F26"/>
                <w:sz w:val="18"/>
                <w:rFonts w:ascii="Palatino Linotype" w:hAnsi="Palatino Linotype" w:cs="Palatino Linotype"/>
              </w:rPr>
              <w:t>Nota</w:t>
            </w:r>
          </w:p>
        </w:tc>
      </w:tr>
      <w:tr>
        <w:tc>
          <w:tcPr>
            <w:tcW w:type="dxa" w:w="3061"/>
          </w:tcPr>
          <w:p>
            <w:pPr>
              <w:spacing w:before="60" w:after="60"/>
            </w:pPr>
            <w:r>
              <w:rPr>
                <w:b w:val="0"/>
                <w:i w:val="0"/>
                <w:color w:val="1C1F26"/>
                <w:sz w:val="18"/>
                <w:rFonts w:ascii="Palatino Linotype" w:hAnsi="Palatino Linotype" w:cs="Palatino Linotype"/>
              </w:rPr>
              <w:t>Matrices cuantitativas</w:t>
            </w:r>
          </w:p>
        </w:tc>
        <w:tc>
          <w:tcPr>
            <w:tcW w:type="dxa" w:w="1701"/>
          </w:tcPr>
          <w:p>
            <w:pPr>
              <w:spacing w:before="60" w:after="60"/>
              <w:jc w:val="center"/>
            </w:pPr>
            <w:r>
              <w:rPr>
                <w:b w:val="0"/>
                <w:i w:val="0"/>
                <w:color w:val="1C1F26"/>
                <w:sz w:val="18"/>
                <w:rFonts w:ascii="Palatino Linotype" w:hAnsi="Palatino Linotype" w:cs="Palatino Linotype"/>
              </w:rPr>
              <w:t>189</w:t>
            </w:r>
          </w:p>
        </w:tc>
        <w:tc>
          <w:tcPr>
            <w:tcW w:type="dxa" w:w="4649"/>
          </w:tcPr>
          <w:p>
            <w:pPr>
              <w:spacing w:before="60" w:after="60"/>
              <w:jc w:val="center"/>
            </w:pPr>
            <w:r>
              <w:rPr>
                <w:b w:val="0"/>
                <w:i w:val="0"/>
                <w:color w:val="1C1F26"/>
                <w:sz w:val="18"/>
                <w:rFonts w:ascii="Palatino Linotype" w:hAnsi="Palatino Linotype" w:cs="Palatino Linotype"/>
              </w:rPr>
              <w:t>sobre 249 criterios</w:t>
            </w:r>
          </w:p>
        </w:tc>
      </w:tr>
      <w:tr>
        <w:tc>
          <w:tcPr>
            <w:tcW w:type="dxa" w:w="3061"/>
          </w:tcPr>
          <w:p>
            <w:pPr>
              <w:spacing w:before="60" w:after="60"/>
            </w:pPr>
            <w:r>
              <w:rPr>
                <w:b w:val="0"/>
                <w:i w:val="0"/>
                <w:color w:val="1C1F26"/>
                <w:sz w:val="18"/>
                <w:rFonts w:ascii="Palatino Linotype" w:hAnsi="Palatino Linotype" w:cs="Palatino Linotype"/>
              </w:rPr>
              <w:t>Componentes</w:t>
            </w:r>
          </w:p>
        </w:tc>
        <w:tc>
          <w:tcPr>
            <w:tcW w:type="dxa" w:w="1701"/>
          </w:tcPr>
          <w:p>
            <w:pPr>
              <w:spacing w:before="60" w:after="60"/>
              <w:jc w:val="center"/>
            </w:pPr>
            <w:r>
              <w:rPr>
                <w:b w:val="0"/>
                <w:i w:val="0"/>
                <w:color w:val="1C1F26"/>
                <w:sz w:val="18"/>
                <w:rFonts w:ascii="Palatino Linotype" w:hAnsi="Palatino Linotype" w:cs="Palatino Linotype"/>
              </w:rPr>
              <w:t>586</w:t>
            </w:r>
          </w:p>
        </w:tc>
        <w:tc>
          <w:tcPr>
            <w:tcW w:type="dxa" w:w="4649"/>
          </w:tcPr>
          <w:p>
            <w:pPr>
              <w:spacing w:before="60" w:after="60"/>
              <w:jc w:val="center"/>
            </w:pPr>
            <w:r>
              <w:rPr>
                <w:b w:val="0"/>
                <w:i w:val="0"/>
                <w:color w:val="1C1F26"/>
                <w:sz w:val="18"/>
                <w:rFonts w:ascii="Palatino Linotype" w:hAnsi="Palatino Linotype" w:cs="Palatino Linotype"/>
              </w:rPr>
              <w:t>cada uno con su puntuación máxima</w:t>
            </w:r>
          </w:p>
        </w:tc>
      </w:tr>
      <w:tr>
        <w:tc>
          <w:tcPr>
            <w:tcW w:type="dxa" w:w="3061"/>
          </w:tcPr>
          <w:p>
            <w:pPr>
              <w:spacing w:before="60" w:after="60"/>
            </w:pPr>
            <w:r>
              <w:rPr>
                <w:b w:val="0"/>
                <w:i w:val="0"/>
                <w:color w:val="1C1F26"/>
                <w:sz w:val="18"/>
                <w:rFonts w:ascii="Palatino Linotype" w:hAnsi="Palatino Linotype" w:cs="Palatino Linotype"/>
              </w:rPr>
              <w:t>Bandas contables</w:t>
            </w:r>
          </w:p>
        </w:tc>
        <w:tc>
          <w:tcPr>
            <w:tcW w:type="dxa" w:w="1701"/>
          </w:tcPr>
          <w:p>
            <w:pPr>
              <w:spacing w:before="60" w:after="60"/>
              <w:jc w:val="center"/>
            </w:pPr>
            <w:r>
              <w:rPr>
                <w:b w:val="0"/>
                <w:i w:val="0"/>
                <w:color w:val="1C1F26"/>
                <w:sz w:val="18"/>
                <w:rFonts w:ascii="Palatino Linotype" w:hAnsi="Palatino Linotype" w:cs="Palatino Linotype"/>
              </w:rPr>
              <w:t>2.930</w:t>
            </w:r>
          </w:p>
        </w:tc>
        <w:tc>
          <w:tcPr>
            <w:tcW w:type="dxa" w:w="4649"/>
          </w:tcPr>
          <w:p>
            <w:pPr>
              <w:spacing w:before="60" w:after="60"/>
              <w:jc w:val="center"/>
            </w:pPr>
            <w:r>
              <w:rPr>
                <w:b w:val="0"/>
                <w:i w:val="0"/>
                <w:color w:val="1C1F26"/>
                <w:sz w:val="18"/>
                <w:rFonts w:ascii="Palatino Linotype" w:hAnsi="Palatino Linotype" w:cs="Palatino Linotype"/>
              </w:rPr>
              <w:t>cada una con su condición medible, sin calificadores vagos</w:t>
            </w:r>
          </w:p>
        </w:tc>
      </w:tr>
      <w:tr>
        <w:tc>
          <w:tcPr>
            <w:tcW w:type="dxa" w:w="3061"/>
          </w:tcPr>
          <w:p>
            <w:pPr>
              <w:spacing w:before="60" w:after="60"/>
            </w:pPr>
            <w:r>
              <w:rPr>
                <w:b w:val="0"/>
                <w:i w:val="0"/>
                <w:color w:val="1C1F26"/>
                <w:sz w:val="18"/>
                <w:rFonts w:ascii="Palatino Linotype" w:hAnsi="Palatino Linotype" w:cs="Palatino Linotype"/>
              </w:rPr>
              <w:t>Penalizaciones declaradas</w:t>
            </w:r>
          </w:p>
        </w:tc>
        <w:tc>
          <w:tcPr>
            <w:tcW w:type="dxa" w:w="1701"/>
          </w:tcPr>
          <w:p>
            <w:pPr>
              <w:spacing w:before="60" w:after="60"/>
              <w:jc w:val="center"/>
            </w:pPr>
            <w:r>
              <w:rPr>
                <w:b w:val="0"/>
                <w:i w:val="0"/>
                <w:color w:val="1C1F26"/>
                <w:sz w:val="18"/>
                <w:rFonts w:ascii="Palatino Linotype" w:hAnsi="Palatino Linotype" w:cs="Palatino Linotype"/>
              </w:rPr>
              <w:t>ninguna</w:t>
            </w:r>
          </w:p>
        </w:tc>
        <w:tc>
          <w:tcPr>
            <w:tcW w:type="dxa" w:w="4649"/>
          </w:tcPr>
          <w:p>
            <w:pPr>
              <w:spacing w:before="60" w:after="60"/>
              <w:jc w:val="center"/>
            </w:pPr>
            <w:r>
              <w:rPr>
                <w:b w:val="0"/>
                <w:i w:val="0"/>
                <w:color w:val="1C1F26"/>
                <w:sz w:val="18"/>
                <w:rFonts w:ascii="Palatino Linotype" w:hAnsi="Palatino Linotype" w:cs="Palatino Linotype"/>
              </w:rPr>
              <w:t>y es deliberado: véase el recuadro siguiente</w:t>
            </w:r>
          </w:p>
        </w:tc>
      </w:tr>
    </w:tbl>
    <w:p>
      <w:pPr>
        <w:spacing w:after="0"/>
      </w:pPr>
    </w:p>
    <w:tbl>
      <w:tblPr>
        <w:tblW w:type="auto" w:w="0"/>
        <w:tblLook w:firstColumn="1" w:firstRow="1" w:lastColumn="0" w:lastRow="0" w:noHBand="0" w:noVBand="1" w:val="04A0"/>
        <w:tblBorders>
          <w:top w:val="single" w:sz="6" w:color="E0C9B8"/>
          <w:left w:val="single" w:sz="6" w:color="E0C9B8"/>
          <w:bottom w:val="single" w:sz="6" w:color="E0C9B8"/>
          <w:right w:val="single" w:sz="6" w:color="E0C9B8"/>
          <w:insideH w:val="single" w:sz="6" w:color="E0C9B8"/>
          <w:insideV w:val="single" w:sz="6" w:color="E0C9B8"/>
        </w:tblBorders>
      </w:tblPr>
      <w:tblGrid>
        <w:gridCol w:w="9412"/>
      </w:tblGrid>
      <w:tr>
        <w:tc>
          <w:tcPr>
            <w:tcW w:type="dxa" w:w="9412"/>
            <w:shd w:val="clear" w:fill="F1E4D9"/>
          </w:tcPr>
          <w:p>
            <w:pPr>
              <w:spacing w:before="100" w:after="40"/>
            </w:pPr>
            <w:r>
              <w:rPr>
                <w:b/>
                <w:i w:val="0"/>
                <w:color w:val="7A3B2E"/>
                <w:sz w:val="20"/>
                <w:rFonts w:ascii="Palatino Linotype" w:hAnsi="Palatino Linotype" w:cs="Palatino Linotype"/>
              </w:rPr>
              <w:t>Por qué no hay ni una sola penalización, y es buena señal</w:t>
            </w:r>
          </w:p>
          <w:p>
            <w:pPr>
              <w:spacing w:after="100"/>
            </w:pPr>
            <w:r>
              <w:rPr>
                <w:b w:val="0"/>
                <w:i w:val="0"/>
                <w:color w:val="1C1F26"/>
                <w:sz w:val="20"/>
                <w:rFonts w:ascii="Palatino Linotype" w:hAnsi="Palatino Linotype" w:cs="Palatino Linotype"/>
              </w:rPr>
              <w:t xml:space="preserve">El diseño prohíbe el </w:t>
            </w:r>
            <w:r>
              <w:rPr>
                <w:b/>
                <w:i w:val="0"/>
                <w:color w:val="1C1F26"/>
                <w:sz w:val="20"/>
                <w:rFonts w:ascii="Palatino Linotype" w:hAnsi="Palatino Linotype" w:cs="Palatino Linotype"/>
              </w:rPr>
              <w:t>doble castigo</w:t>
            </w:r>
            <w:r>
              <w:rPr>
                <w:b w:val="0"/>
                <w:i w:val="0"/>
                <w:color w:val="1C1F26"/>
                <w:sz w:val="20"/>
                <w:rFonts w:ascii="Palatino Linotype" w:hAnsi="Palatino Linotype" w:cs="Palatino Linotype"/>
              </w:rPr>
              <w:t xml:space="preserve">: una penalización no puede medir lo que un componente de la misma matriz ya recoge. La regla salió de la primera matriz que se escribió, donde un componente valoraba los errores de puntuación y encima había una penalización por párrafo largo sin puntos; el alumno pagaba dos veces por el mismo fenómeno, la dimensión caía dos niveles de golpe y la nota final perdía siete décimas. Una rúbrica así no se sostiene ante una reclamación, porque el alumno puede señalar exactamente dónde se le ha restado dos veces. La consecuencia adoptada es que, si un fenómeno merece medirse, casi siempre debe ser un componente con su banda y no un descuento. Al aplicarla a fondo, las matrices quedan </w:t>
            </w:r>
            <w:r>
              <w:rPr>
                <w:b/>
                <w:i w:val="0"/>
                <w:color w:val="1C1F26"/>
                <w:sz w:val="20"/>
                <w:rFonts w:ascii="Palatino Linotype" w:hAnsi="Palatino Linotype" w:cs="Palatino Linotype"/>
              </w:rPr>
              <w:t>sin penalización alguna</w:t>
            </w:r>
            <w:r>
              <w:rPr>
                <w:b w:val="0"/>
                <w:i w:val="0"/>
                <w:color w:val="1C1F26"/>
                <w:sz w:val="20"/>
                <w:rFonts w:ascii="Palatino Linotype" w:hAnsi="Palatino Linotype" w:cs="Palatino Linotype"/>
              </w:rPr>
              <w:t xml:space="preserve"> — y el mecanismo sigue implementado, con su tope obligatorio y su regla de validación, para el pack que algún día lo necesite.</w:t>
            </w:r>
          </w:p>
        </w:tc>
      </w:tr>
    </w:tbl>
    <w:p>
      <w:pPr>
        <w:spacing w:after="0"/>
      </w:pPr>
    </w:p>
    <w:p>
      <w:pPr>
        <w:keepNext/>
        <w:spacing w:before="260" w:after="60"/>
      </w:pPr>
      <w:r>
        <w:rPr>
          <w:b/>
          <w:i w:val="0"/>
          <w:color w:val="1C1F26"/>
          <w:sz w:val="23"/>
          <w:rFonts w:ascii="Palatino Linotype" w:hAnsi="Palatino Linotype" w:cs="Palatino Linotype"/>
        </w:rPr>
        <w:t>4.4 Las tablas de derivación por materia</w:t>
      </w:r>
    </w:p>
    <w:p>
      <w:pPr>
        <w:jc w:val="both"/>
      </w:pPr>
      <w:r>
        <w:rPr>
          <w:b w:val="0"/>
          <w:i w:val="0"/>
          <w:color w:val="1C1F26"/>
          <w:sz w:val="21"/>
          <w:rFonts w:ascii="Palatino Linotype" w:hAnsi="Palatino Linotype" w:cs="Palatino Linotype"/>
        </w:rPr>
        <w:t xml:space="preserve">Dos hechos curriculares no pertenecen a ningún pack porque valen para todos, y viven en un archivo propio por materia. El primero es la </w:t>
      </w:r>
      <w:r>
        <w:rPr>
          <w:b/>
          <w:i w:val="0"/>
          <w:color w:val="1C1F26"/>
          <w:sz w:val="21"/>
          <w:rFonts w:ascii="Palatino Linotype" w:hAnsi="Palatino Linotype" w:cs="Palatino Linotype"/>
        </w:rPr>
        <w:t>matriz de tarea × curso</w:t>
      </w:r>
      <w:r>
        <w:rPr>
          <w:b w:val="0"/>
          <w:i w:val="0"/>
          <w:color w:val="1C1F26"/>
          <w:sz w:val="21"/>
          <w:rFonts w:ascii="Palatino Linotype" w:hAnsi="Palatino Linotype" w:cs="Palatino Linotype"/>
        </w:rPr>
        <w:t xml:space="preserve">: qué tipo de tarea sostiene el currículo en qué curso. Hoy declara </w:t>
      </w:r>
      <w:r>
        <w:rPr>
          <w:b/>
          <w:i w:val="0"/>
          <w:color w:val="1C1F26"/>
          <w:sz w:val="21"/>
          <w:rFonts w:ascii="Palatino Linotype" w:hAnsi="Palatino Linotype" w:cs="Palatino Linotype"/>
        </w:rPr>
        <w:t>46 celdas</w:t>
      </w:r>
      <w:r>
        <w:rPr>
          <w:b w:val="0"/>
          <w:i w:val="0"/>
          <w:color w:val="1C1F26"/>
          <w:sz w:val="21"/>
          <w:rFonts w:ascii="Palatino Linotype" w:hAnsi="Palatino Linotype" w:cs="Palatino Linotype"/>
        </w:rPr>
        <w:t xml:space="preserve"> sobre las 60 combinaciones posibles de diez tipos de tarea y seis cursos:</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1345"/>
        <w:gridCol w:w="1345"/>
        <w:gridCol w:w="1345"/>
        <w:gridCol w:w="1345"/>
        <w:gridCol w:w="1345"/>
        <w:gridCol w:w="1345"/>
        <w:gridCol w:w="1345"/>
      </w:tblGrid>
      <w:tr>
        <w:tc>
          <w:tcPr>
            <w:tcW w:type="dxa" w:w="2948"/>
            <w:shd w:val="clear" w:fill="F4F2EE"/>
          </w:tcPr>
          <w:p>
            <w:pPr>
              <w:spacing w:before="60" w:after="60"/>
            </w:pPr>
            <w:r>
              <w:rPr>
                <w:b/>
                <w:i w:val="0"/>
                <w:color w:val="1C1F26"/>
                <w:sz w:val="18"/>
                <w:rFonts w:ascii="Palatino Linotype" w:hAnsi="Palatino Linotype" w:cs="Palatino Linotype"/>
              </w:rPr>
              <w:t>Tipo de tarea</w:t>
            </w:r>
          </w:p>
        </w:tc>
        <w:tc>
          <w:tcPr>
            <w:tcW w:type="dxa" w:w="1077"/>
            <w:shd w:val="clear" w:fill="F4F2EE"/>
          </w:tcPr>
          <w:p>
            <w:pPr>
              <w:spacing w:before="60" w:after="60"/>
              <w:jc w:val="center"/>
            </w:pPr>
            <w:r>
              <w:rPr>
                <w:b/>
                <w:i w:val="0"/>
                <w:color w:val="1C1F26"/>
                <w:sz w:val="18"/>
                <w:rFonts w:ascii="Palatino Linotype" w:hAnsi="Palatino Linotype" w:cs="Palatino Linotype"/>
              </w:rPr>
              <w:t>1.º ESO</w:t>
            </w:r>
          </w:p>
        </w:tc>
        <w:tc>
          <w:tcPr>
            <w:tcW w:type="dxa" w:w="1077"/>
            <w:shd w:val="clear" w:fill="F4F2EE"/>
          </w:tcPr>
          <w:p>
            <w:pPr>
              <w:spacing w:before="60" w:after="60"/>
              <w:jc w:val="center"/>
            </w:pPr>
            <w:r>
              <w:rPr>
                <w:b/>
                <w:i w:val="0"/>
                <w:color w:val="1C1F26"/>
                <w:sz w:val="18"/>
                <w:rFonts w:ascii="Palatino Linotype" w:hAnsi="Palatino Linotype" w:cs="Palatino Linotype"/>
              </w:rPr>
              <w:t>2.º ESO</w:t>
            </w:r>
          </w:p>
        </w:tc>
        <w:tc>
          <w:tcPr>
            <w:tcW w:type="dxa" w:w="1077"/>
            <w:shd w:val="clear" w:fill="F4F2EE"/>
          </w:tcPr>
          <w:p>
            <w:pPr>
              <w:spacing w:before="60" w:after="60"/>
              <w:jc w:val="center"/>
            </w:pPr>
            <w:r>
              <w:rPr>
                <w:b/>
                <w:i w:val="0"/>
                <w:color w:val="1C1F26"/>
                <w:sz w:val="18"/>
                <w:rFonts w:ascii="Palatino Linotype" w:hAnsi="Palatino Linotype" w:cs="Palatino Linotype"/>
              </w:rPr>
              <w:t>3.º ESO</w:t>
            </w:r>
          </w:p>
        </w:tc>
        <w:tc>
          <w:tcPr>
            <w:tcW w:type="dxa" w:w="1077"/>
            <w:shd w:val="clear" w:fill="F4F2EE"/>
          </w:tcPr>
          <w:p>
            <w:pPr>
              <w:spacing w:before="60" w:after="60"/>
              <w:jc w:val="center"/>
            </w:pPr>
            <w:r>
              <w:rPr>
                <w:b/>
                <w:i w:val="0"/>
                <w:color w:val="1C1F26"/>
                <w:sz w:val="18"/>
                <w:rFonts w:ascii="Palatino Linotype" w:hAnsi="Palatino Linotype" w:cs="Palatino Linotype"/>
              </w:rPr>
              <w:t>4.º ESO</w:t>
            </w:r>
          </w:p>
        </w:tc>
        <w:tc>
          <w:tcPr>
            <w:tcW w:type="dxa" w:w="1077"/>
            <w:shd w:val="clear" w:fill="F4F2EE"/>
          </w:tcPr>
          <w:p>
            <w:pPr>
              <w:spacing w:before="60" w:after="60"/>
              <w:jc w:val="center"/>
            </w:pPr>
            <w:r>
              <w:rPr>
                <w:b/>
                <w:i w:val="0"/>
                <w:color w:val="1C1F26"/>
                <w:sz w:val="18"/>
                <w:rFonts w:ascii="Palatino Linotype" w:hAnsi="Palatino Linotype" w:cs="Palatino Linotype"/>
              </w:rPr>
              <w:t>1.º Bach</w:t>
            </w:r>
          </w:p>
        </w:tc>
        <w:tc>
          <w:tcPr>
            <w:tcW w:type="dxa" w:w="1077"/>
            <w:shd w:val="clear" w:fill="F4F2EE"/>
          </w:tcPr>
          <w:p>
            <w:pPr>
              <w:spacing w:before="60" w:after="60"/>
              <w:jc w:val="center"/>
            </w:pPr>
            <w:r>
              <w:rPr>
                <w:b/>
                <w:i w:val="0"/>
                <w:color w:val="1C1F26"/>
                <w:sz w:val="18"/>
                <w:rFonts w:ascii="Palatino Linotype" w:hAnsi="Palatino Linotype" w:cs="Palatino Linotype"/>
              </w:rPr>
              <w:t>2.º Bach</w:t>
            </w:r>
          </w:p>
        </w:tc>
      </w:tr>
      <w:tr>
        <w:tc>
          <w:tcPr>
            <w:tcW w:type="dxa" w:w="2948"/>
          </w:tcPr>
          <w:p>
            <w:pPr>
              <w:spacing w:before="60" w:after="60"/>
            </w:pPr>
            <w:r>
              <w:rPr>
                <w:b w:val="0"/>
                <w:i w:val="0"/>
                <w:color w:val="1C1F26"/>
                <w:sz w:val="18"/>
                <w:rFonts w:ascii="Palatino Linotype" w:hAnsi="Palatino Linotype" w:cs="Palatino Linotype"/>
              </w:rPr>
              <w:t>Narración</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r>
      <w:tr>
        <w:tc>
          <w:tcPr>
            <w:tcW w:type="dxa" w:w="2948"/>
          </w:tcPr>
          <w:p>
            <w:pPr>
              <w:spacing w:before="60" w:after="60"/>
            </w:pPr>
            <w:r>
              <w:rPr>
                <w:b w:val="0"/>
                <w:i w:val="0"/>
                <w:color w:val="1C1F26"/>
                <w:sz w:val="18"/>
                <w:rFonts w:ascii="Palatino Linotype" w:hAnsi="Palatino Linotype" w:cs="Palatino Linotype"/>
              </w:rPr>
              <w:t>Texto expositivo</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r>
      <w:tr>
        <w:tc>
          <w:tcPr>
            <w:tcW w:type="dxa" w:w="2948"/>
          </w:tcPr>
          <w:p>
            <w:pPr>
              <w:spacing w:before="60" w:after="60"/>
            </w:pPr>
            <w:r>
              <w:rPr>
                <w:b w:val="0"/>
                <w:i w:val="0"/>
                <w:color w:val="1C1F26"/>
                <w:sz w:val="18"/>
                <w:rFonts w:ascii="Palatino Linotype" w:hAnsi="Palatino Linotype" w:cs="Palatino Linotype"/>
              </w:rPr>
              <w:t>Exposición oral</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r>
      <w:tr>
        <w:tc>
          <w:tcPr>
            <w:tcW w:type="dxa" w:w="2948"/>
          </w:tcPr>
          <w:p>
            <w:pPr>
              <w:spacing w:before="60" w:after="60"/>
            </w:pPr>
            <w:r>
              <w:rPr>
                <w:b w:val="0"/>
                <w:i w:val="0"/>
                <w:color w:val="1C1F26"/>
                <w:sz w:val="18"/>
                <w:rFonts w:ascii="Palatino Linotype" w:hAnsi="Palatino Linotype" w:cs="Palatino Linotype"/>
              </w:rPr>
              <w:t>Debate y situaciones orales dialogadas</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r>
      <w:tr>
        <w:tc>
          <w:tcPr>
            <w:tcW w:type="dxa" w:w="2948"/>
          </w:tcPr>
          <w:p>
            <w:pPr>
              <w:spacing w:before="60" w:after="60"/>
            </w:pPr>
            <w:r>
              <w:rPr>
                <w:b w:val="0"/>
                <w:i w:val="0"/>
                <w:color w:val="1C1F26"/>
                <w:sz w:val="18"/>
                <w:rFonts w:ascii="Palatino Linotype" w:hAnsi="Palatino Linotype" w:cs="Palatino Linotype"/>
              </w:rPr>
              <w:t>Texto argumentativo</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r>
      <w:tr>
        <w:tc>
          <w:tcPr>
            <w:tcW w:type="dxa" w:w="2948"/>
          </w:tcPr>
          <w:p>
            <w:pPr>
              <w:spacing w:before="60" w:after="60"/>
            </w:pPr>
            <w:r>
              <w:rPr>
                <w:b w:val="0"/>
                <w:i w:val="0"/>
                <w:color w:val="1C1F26"/>
                <w:sz w:val="18"/>
                <w:rFonts w:ascii="Palatino Linotype" w:hAnsi="Palatino Linotype" w:cs="Palatino Linotype"/>
              </w:rPr>
              <w:t>Comentario de texto literario</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r>
      <w:tr>
        <w:tc>
          <w:tcPr>
            <w:tcW w:type="dxa" w:w="2948"/>
          </w:tcPr>
          <w:p>
            <w:pPr>
              <w:spacing w:before="60" w:after="60"/>
            </w:pPr>
            <w:r>
              <w:rPr>
                <w:b w:val="0"/>
                <w:i w:val="0"/>
                <w:color w:val="1C1F26"/>
                <w:sz w:val="18"/>
                <w:rFonts w:ascii="Palatino Linotype" w:hAnsi="Palatino Linotype" w:cs="Palatino Linotype"/>
              </w:rPr>
              <w:t>Resumen de un texto</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r>
      <w:tr>
        <w:tc>
          <w:tcPr>
            <w:tcW w:type="dxa" w:w="2948"/>
          </w:tcPr>
          <w:p>
            <w:pPr>
              <w:spacing w:before="60" w:after="60"/>
            </w:pPr>
            <w:r>
              <w:rPr>
                <w:b w:val="0"/>
                <w:i w:val="0"/>
                <w:color w:val="1C1F26"/>
                <w:sz w:val="18"/>
                <w:rFonts w:ascii="Palatino Linotype" w:hAnsi="Palatino Linotype" w:cs="Palatino Linotype"/>
              </w:rPr>
              <w:t>Reacción a una noticia</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r>
      <w:tr>
        <w:tc>
          <w:tcPr>
            <w:tcW w:type="dxa" w:w="2948"/>
          </w:tcPr>
          <w:p>
            <w:pPr>
              <w:spacing w:before="60" w:after="60"/>
            </w:pPr>
            <w:r>
              <w:rPr>
                <w:b w:val="0"/>
                <w:i w:val="0"/>
                <w:color w:val="1C1F26"/>
                <w:sz w:val="18"/>
                <w:rFonts w:ascii="Palatino Linotype" w:hAnsi="Palatino Linotype" w:cs="Palatino Linotype"/>
              </w:rPr>
              <w:t>Redacción de una noticia</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r>
      <w:tr>
        <w:tc>
          <w:tcPr>
            <w:tcW w:type="dxa" w:w="2948"/>
          </w:tcPr>
          <w:p>
            <w:pPr>
              <w:spacing w:before="60" w:after="60"/>
            </w:pPr>
            <w:r>
              <w:rPr>
                <w:b w:val="0"/>
                <w:i w:val="0"/>
                <w:color w:val="1C1F26"/>
                <w:sz w:val="18"/>
                <w:rFonts w:ascii="Palatino Linotype" w:hAnsi="Palatino Linotype" w:cs="Palatino Linotype"/>
              </w:rPr>
              <w:t>Trabajo de investigación multimodal</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c>
          <w:tcPr>
            <w:tcW w:type="dxa" w:w="1077"/>
          </w:tcPr>
          <w:p>
            <w:pPr>
              <w:spacing w:before="60" w:after="60"/>
              <w:jc w:val="center"/>
            </w:pPr>
            <w:r>
              <w:rPr>
                <w:b w:val="0"/>
                <w:i w:val="0"/>
                <w:color w:val="1C1F26"/>
                <w:sz w:val="18"/>
                <w:rFonts w:ascii="Palatino Linotype" w:hAnsi="Palatino Linotype" w:cs="Palatino Linotype"/>
              </w:rPr>
              <w:t>●</w:t>
            </w:r>
          </w:p>
        </w:tc>
      </w:tr>
    </w:tbl>
    <w:p>
      <w:pPr>
        <w:spacing w:after="0"/>
      </w:pPr>
    </w:p>
    <w:p>
      <w:pPr>
        <w:jc w:val="both"/>
      </w:pPr>
      <w:r>
        <w:rPr>
          <w:b w:val="0"/>
          <w:i w:val="0"/>
          <w:color w:val="1C1F26"/>
          <w:sz w:val="21"/>
          <w:rFonts w:ascii="Palatino Linotype" w:hAnsi="Palatino Linotype" w:cs="Palatino Linotype"/>
        </w:rPr>
        <w:t xml:space="preserve">Una celda ausente no es un hueco por rellenar: significa que </w:t>
      </w:r>
      <w:r>
        <w:rPr>
          <w:b/>
          <w:i w:val="0"/>
          <w:color w:val="1C1F26"/>
          <w:sz w:val="21"/>
          <w:rFonts w:ascii="Palatino Linotype" w:hAnsi="Palatino Linotype" w:cs="Palatino Linotype"/>
        </w:rPr>
        <w:t>ningún criterio de evaluación de ese curso abre esa tarea</w:t>
      </w:r>
      <w:r>
        <w:rPr>
          <w:b w:val="0"/>
          <w:i w:val="0"/>
          <w:color w:val="1C1F26"/>
          <w:sz w:val="21"/>
          <w:rFonts w:ascii="Palatino Linotype" w:hAnsi="Palatino Linotype" w:cs="Palatino Linotype"/>
        </w:rPr>
        <w:t xml:space="preserve">, y entonces la aplicación no la ofrece y ningún pack puede declararla ahí. El segundo hecho es el </w:t>
      </w:r>
      <w:r>
        <w:rPr>
          <w:b/>
          <w:i w:val="0"/>
          <w:color w:val="1C1F26"/>
          <w:sz w:val="21"/>
          <w:rFonts w:ascii="Palatino Linotype" w:hAnsi="Palatino Linotype" w:cs="Palatino Linotype"/>
        </w:rPr>
        <w:t>techo de progresión</w:t>
      </w:r>
      <w:r>
        <w:rPr>
          <w:b w:val="0"/>
          <w:i w:val="0"/>
          <w:color w:val="1C1F26"/>
          <w:sz w:val="21"/>
          <w:rFonts w:ascii="Palatino Linotype" w:hAnsi="Palatino Linotype" w:cs="Palatino Linotype"/>
        </w:rPr>
        <w:t>: hasta dónde puede exigir cada curso en cada uno de los tres ejes. Las dos tablas se imprimen en el documento de diseño desde este archivo, nunca al revés.</w:t>
      </w:r>
    </w:p>
    <w:p>
      <w:pPr>
        <w:keepNext/>
        <w:spacing w:before="260" w:after="60"/>
      </w:pPr>
      <w:r>
        <w:rPr>
          <w:b/>
          <w:i w:val="0"/>
          <w:color w:val="1C1F26"/>
          <w:sz w:val="23"/>
          <w:rFonts w:ascii="Palatino Linotype" w:hAnsi="Palatino Linotype" w:cs="Palatino Linotype"/>
        </w:rPr>
        <w:t>4.5 Banco cerrado de verbos y léxico de reglas</w:t>
      </w:r>
    </w:p>
    <w:p>
      <w:pPr>
        <w:jc w:val="both"/>
      </w:pPr>
      <w:r>
        <w:rPr>
          <w:b w:val="0"/>
          <w:i w:val="0"/>
          <w:color w:val="1C1F26"/>
          <w:sz w:val="21"/>
          <w:rFonts w:ascii="Palatino Linotype" w:hAnsi="Palatino Linotype" w:cs="Palatino Linotype"/>
        </w:rPr>
        <w:t xml:space="preserve">El banco guarda </w:t>
      </w:r>
      <w:r>
        <w:rPr>
          <w:b/>
          <w:i w:val="0"/>
          <w:color w:val="1C1F26"/>
          <w:sz w:val="21"/>
          <w:rFonts w:ascii="Palatino Linotype" w:hAnsi="Palatino Linotype" w:cs="Palatino Linotype"/>
        </w:rPr>
        <w:t>80 verbos</w:t>
      </w:r>
      <w:r>
        <w:rPr>
          <w:b w:val="0"/>
          <w:i w:val="0"/>
          <w:color w:val="1C1F26"/>
          <w:sz w:val="21"/>
          <w:rFonts w:ascii="Palatino Linotype" w:hAnsi="Palatino Linotype" w:cs="Palatino Linotype"/>
        </w:rPr>
        <w:t>, cada uno en tercera y en primera persona («Reconoce» / «Reconozco»). Es a la vez una restricción de redacción —todo descriptor debe empezar por un verbo del banco— y el mecanismo que permite derivar la versión de autoevaluación sin errores de morfología (§5.5). Un pack solo puede añadir verbos en su lista de extras, nunca alterar el banco común.</w:t>
      </w:r>
    </w:p>
    <w:p>
      <w:pPr>
        <w:jc w:val="both"/>
      </w:pPr>
      <w:r>
        <w:rPr>
          <w:b w:val="0"/>
          <w:i w:val="0"/>
          <w:color w:val="1C1F26"/>
          <w:sz w:val="21"/>
          <w:rFonts w:ascii="Palatino Linotype" w:hAnsi="Palatino Linotype" w:cs="Palatino Linotype"/>
        </w:rPr>
        <w:t xml:space="preserve">El léxico de reglas guarda aparte las palabras y los umbrales que el validador vigila: los calificadores vagos, las negaciones que delatan un nivel 1 formulado en negativo, los modalizadores de ayuda y de autonomía del currículo, el reconocedor de recuentos de banda y los umbrales numéricos. Está separado por materia, y </w:t>
      </w:r>
      <w:r>
        <w:rPr>
          <w:b/>
          <w:i w:val="0"/>
          <w:color w:val="1C1F26"/>
          <w:sz w:val="21"/>
          <w:rFonts w:ascii="Palatino Linotype" w:hAnsi="Palatino Linotype" w:cs="Palatino Linotype"/>
        </w:rPr>
        <w:t>dar de alta una asignatura nueva no debe obligar a tocar código</w:t>
      </w:r>
      <w:r>
        <w:rPr>
          <w:b w:val="0"/>
          <w:i w:val="0"/>
          <w:color w:val="1C1F26"/>
          <w:sz w:val="21"/>
          <w:rFonts w:ascii="Palatino Linotype" w:hAnsi="Palatino Linotype" w:cs="Palatino Linotype"/>
        </w:rPr>
        <w:t>: si hiciera falta editar un programa, sería un fallo de diseño de esta obra, no de la materia nueva.</w:t>
      </w:r>
    </w:p>
    <w:p>
      <w:pPr>
        <w:keepNext/>
        <w:spacing w:before="260" w:after="60"/>
      </w:pPr>
      <w:r>
        <w:rPr>
          <w:b/>
          <w:i w:val="0"/>
          <w:color w:val="1C1F26"/>
          <w:sz w:val="23"/>
          <w:rFonts w:ascii="Palatino Linotype" w:hAnsi="Palatino Linotype" w:cs="Palatino Linotype"/>
        </w:rPr>
        <w:t>4.6 El esquema de pack</w:t>
      </w:r>
    </w:p>
    <w:p>
      <w:pPr>
        <w:jc w:val="both"/>
      </w:pPr>
      <w:r>
        <w:rPr>
          <w:b w:val="0"/>
          <w:i w:val="0"/>
          <w:color w:val="1C1F26"/>
          <w:sz w:val="21"/>
          <w:rFonts w:ascii="Palatino Linotype" w:hAnsi="Palatino Linotype" w:cs="Palatino Linotype"/>
        </w:rPr>
        <w:t xml:space="preserve">La forma que debe tener un pack está declarada en un esquema propio, que se comprueba </w:t>
      </w:r>
      <w:r>
        <w:rPr>
          <w:b/>
          <w:i w:val="0"/>
          <w:color w:val="1C1F26"/>
          <w:sz w:val="21"/>
          <w:rFonts w:ascii="Palatino Linotype" w:hAnsi="Palatino Linotype" w:cs="Palatino Linotype"/>
        </w:rPr>
        <w:t>antes</w:t>
      </w:r>
      <w:r>
        <w:rPr>
          <w:b w:val="0"/>
          <w:i w:val="0"/>
          <w:color w:val="1C1F26"/>
          <w:sz w:val="21"/>
          <w:rFonts w:ascii="Palatino Linotype" w:hAnsi="Palatino Linotype" w:cs="Palatino Linotype"/>
        </w:rPr>
        <w:t xml:space="preserve"> que ninguna regla de contenido: primero se verifica que el archivo tiene la forma prometida y solo después se juzga lo que dice.</w:t>
      </w:r>
    </w:p>
    <w:p>
      <w:r>
        <w:br w:type="page"/>
      </w:r>
    </w:p>
    <w:p>
      <w:pPr>
        <w:keepNext/>
        <w:spacing w:before="440" w:after="120"/>
      </w:pPr>
      <w:r>
        <w:rPr>
          <w:b/>
          <w:i w:val="0"/>
          <w:color w:val="7A3B2E"/>
          <w:sz w:val="30"/>
          <w:rFonts w:ascii="Palatino Linotype" w:hAnsi="Palatino Linotype" w:cs="Palatino Linotype"/>
        </w:rPr>
        <w:t>5. ALGORITMOS Y LÓGICA ORIGINAL</w:t>
      </w:r>
    </w:p>
    <w:p>
      <w:pPr>
        <w:keepNext/>
        <w:spacing w:before="260" w:after="60"/>
      </w:pPr>
      <w:r>
        <w:rPr>
          <w:b/>
          <w:i w:val="0"/>
          <w:color w:val="1C1F26"/>
          <w:sz w:val="23"/>
          <w:rFonts w:ascii="Palatino Linotype" w:hAnsi="Palatino Linotype" w:cs="Palatino Linotype"/>
        </w:rPr>
        <w:t>5.1 Premarcado de dimensiones de proceso</w:t>
      </w:r>
    </w:p>
    <w:p>
      <w:pPr>
        <w:jc w:val="both"/>
      </w:pPr>
      <w:r>
        <w:rPr>
          <w:b w:val="0"/>
          <w:i w:val="0"/>
          <w:color w:val="1C1F26"/>
          <w:sz w:val="21"/>
          <w:rFonts w:ascii="Palatino Linotype" w:hAnsi="Palatino Linotype" w:cs="Palatino Linotype"/>
        </w:rPr>
        <w:t xml:space="preserve">De las cinco respuestas de la puerta de aplicabilidad, la de «fase de un texto» no elige solo instrumento: elige </w:t>
      </w:r>
      <w:r>
        <w:rPr>
          <w:b/>
          <w:i w:val="0"/>
          <w:color w:val="1C1F26"/>
          <w:sz w:val="21"/>
          <w:rFonts w:ascii="Palatino Linotype" w:hAnsi="Palatino Linotype" w:cs="Palatino Linotype"/>
        </w:rPr>
        <w:t>qué dimensiones vienen marcadas</w:t>
      </w:r>
      <w:r>
        <w:rPr>
          <w:b w:val="0"/>
          <w:i w:val="0"/>
          <w:color w:val="1C1F26"/>
          <w:sz w:val="21"/>
          <w:rFonts w:ascii="Palatino Linotype" w:hAnsi="Palatino Linotype" w:cs="Palatino Linotype"/>
        </w:rPr>
        <w:t>, porque lo que se entrega no es el texto. En un esquema no hay cohesión que observar y en un borrador la corrección normativa aún no se juzga.</w:t>
      </w:r>
    </w:p>
    <w:p>
      <w:pPr>
        <w:jc w:val="both"/>
      </w:pPr>
      <w:r>
        <w:rPr>
          <w:b w:val="0"/>
          <w:i w:val="0"/>
          <w:color w:val="1C1F26"/>
          <w:sz w:val="21"/>
          <w:rFonts w:ascii="Palatino Linotype" w:hAnsi="Palatino Linotype" w:cs="Palatino Linotype"/>
        </w:rPr>
        <w:t xml:space="preserve">Cuáles son esas dimensiones </w:t>
      </w:r>
      <w:r>
        <w:rPr>
          <w:b/>
          <w:i w:val="0"/>
          <w:color w:val="1C1F26"/>
          <w:sz w:val="21"/>
          <w:rFonts w:ascii="Palatino Linotype" w:hAnsi="Palatino Linotype" w:cs="Palatino Linotype"/>
        </w:rPr>
        <w:t>lo declara el pack</w:t>
      </w:r>
      <w:r>
        <w:rPr>
          <w:b w:val="0"/>
          <w:i w:val="0"/>
          <w:color w:val="1C1F26"/>
          <w:sz w:val="21"/>
          <w:rFonts w:ascii="Palatino Linotype" w:hAnsi="Palatino Linotype" w:cs="Palatino Linotype"/>
        </w:rPr>
        <w:t xml:space="preserve"> y no lo deduce el motor, y esa es la parte no evidente. De la cita no se deduce: el mismo criterio que habla de planificar y revisar es también el que sostiene la adecuación, la coherencia y la cohesión del texto terminado, de modo que un premarcado leído de la cita marcaría media rúbrica. Lo que sí se comprueba mecánicamente es </w:t>
      </w:r>
      <w:r>
        <w:rPr>
          <w:b/>
          <w:i w:val="0"/>
          <w:color w:val="1C1F26"/>
          <w:sz w:val="21"/>
          <w:rFonts w:ascii="Palatino Linotype" w:hAnsi="Palatino Linotype" w:cs="Palatino Linotype"/>
        </w:rPr>
        <w:t>la dirección contraria</w:t>
      </w:r>
      <w:r>
        <w:rPr>
          <w:b w:val="0"/>
          <w:i w:val="0"/>
          <w:color w:val="1C1F26"/>
          <w:sz w:val="21"/>
          <w:rFonts w:ascii="Palatino Linotype" w:hAnsi="Palatino Linotype" w:cs="Palatino Linotype"/>
        </w:rPr>
        <w:t>: una dimensión declarada de proceso cuya cita oficial no hable de planificar, de borradores ni de revisar no carga.</w:t>
      </w:r>
    </w:p>
    <w:p>
      <w:pPr>
        <w:jc w:val="both"/>
      </w:pPr>
      <w:r>
        <w:rPr>
          <w:b/>
          <w:i w:val="0"/>
          <w:color w:val="1C1F26"/>
          <w:sz w:val="21"/>
          <w:rFonts w:ascii="Palatino Linotype" w:hAnsi="Palatino Linotype" w:cs="Palatino Linotype"/>
        </w:rPr>
        <w:t>El premarcado nunca vacía el instrumento.</w:t>
      </w:r>
      <w:r>
        <w:rPr>
          <w:b w:val="0"/>
          <w:i w:val="0"/>
          <w:color w:val="1C1F26"/>
          <w:sz w:val="21"/>
          <w:rFonts w:ascii="Palatino Linotype" w:hAnsi="Palatino Linotype" w:cs="Palatino Linotype"/>
        </w:rPr>
        <w:t xml:space="preserve"> Dos casos de borde tienen salida escrita: si la dimensión de proceso no sobrevive al filtro de tiempo, se rescata y se avisa —el filtro mide el coste de corregir un texto entero, que es justo lo que aquí no se está corrigiendo—; y si la tarea no tiene ninguna dimensión de proceso, como ocurre con la exposición oral, se mantienen todas premarcadas y se explica por qué.</w:t>
      </w:r>
    </w:p>
    <w:p>
      <w:pPr>
        <w:keepNext/>
        <w:spacing w:before="260" w:after="60"/>
      </w:pPr>
      <w:r>
        <w:rPr>
          <w:b/>
          <w:i w:val="0"/>
          <w:color w:val="1C1F26"/>
          <w:sz w:val="23"/>
          <w:rFonts w:ascii="Palatino Linotype" w:hAnsi="Palatino Linotype" w:cs="Palatino Linotype"/>
        </w:rPr>
        <w:t>5.2 Filtro de profundidad por tiempo de corrección</w:t>
      </w:r>
    </w:p>
    <w:p>
      <w:pPr>
        <w:jc w:val="both"/>
      </w:pPr>
      <w:r>
        <w:rPr>
          <w:b w:val="0"/>
          <w:i w:val="0"/>
          <w:color w:val="1C1F26"/>
          <w:sz w:val="21"/>
          <w:rFonts w:ascii="Palatino Linotype" w:hAnsi="Palatino Linotype" w:cs="Palatino Linotype"/>
        </w:rPr>
        <w:t>El tiempo declarado por alumno se traduce en un corte por prioridad: menos de dos minutos deja solo las dimensiones de prioridad máxima; de dos a cinco añade el segundo escalón; más de cinco admite los tres. Es la traducción operativa de un principio de sostenibilidad: una rúbrica que no se puede corregir en el tiempo real del docente no se usa, y una rúbrica que no se usa no evalúa nada.</w:t>
      </w:r>
    </w:p>
    <w:p>
      <w:pPr>
        <w:keepNext/>
        <w:spacing w:before="260" w:after="60"/>
      </w:pPr>
      <w:r>
        <w:rPr>
          <w:b/>
          <w:i w:val="0"/>
          <w:color w:val="1C1F26"/>
          <w:sz w:val="23"/>
          <w:rFonts w:ascii="Palatino Linotype" w:hAnsi="Palatino Linotype" w:cs="Palatino Linotype"/>
        </w:rPr>
        <w:t>5.3 Modelo de cálculo</w:t>
      </w:r>
    </w:p>
    <w:p>
      <w:pPr>
        <w:jc w:val="both"/>
      </w:pPr>
      <w:r>
        <w:rPr>
          <w:b w:val="0"/>
          <w:i w:val="0"/>
          <w:color w:val="1C1F26"/>
          <w:sz w:val="21"/>
          <w:rFonts w:ascii="Palatino Linotype" w:hAnsi="Palatino Linotype" w:cs="Palatino Linotype"/>
        </w:rPr>
        <w:t xml:space="preserve">El modelo está especificado hasta el detalle porque </w:t>
      </w:r>
      <w:r>
        <w:rPr>
          <w:b/>
          <w:i w:val="0"/>
          <w:color w:val="1C1F26"/>
          <w:sz w:val="21"/>
          <w:rFonts w:ascii="Palatino Linotype" w:hAnsi="Palatino Linotype" w:cs="Palatino Linotype"/>
        </w:rPr>
        <w:t>tiene que sostenerse ante una reclamación</w:t>
      </w:r>
      <w:r>
        <w:rPr>
          <w:b w:val="0"/>
          <w:i w:val="0"/>
          <w:color w:val="1C1F26"/>
          <w:sz w:val="21"/>
          <w:rFonts w:ascii="Palatino Linotype" w:hAnsi="Palatino Linotype" w:cs="Palatino Linotype"/>
        </w:rPr>
        <w:t>. Sus reglas exactas:</w:t>
      </w:r>
    </w:p>
    <w:p>
      <w:pPr>
        <w:pStyle w:val="ListBullet"/>
        <w:spacing w:after="60"/>
        <w:jc w:val="both"/>
      </w:pPr>
      <w:r>
        <w:rPr>
          <w:b/>
          <w:i w:val="0"/>
          <w:color w:val="1C1F26"/>
          <w:sz w:val="21"/>
          <w:rFonts w:ascii="Palatino Linotype" w:hAnsi="Palatino Linotype" w:cs="Palatino Linotype"/>
        </w:rPr>
        <w:t>Dos escalas de nivel seleccionables</w:t>
      </w:r>
      <w:r>
        <w:rPr>
          <w:b w:val="0"/>
          <w:i w:val="0"/>
          <w:color w:val="1C1F26"/>
          <w:sz w:val="21"/>
          <w:rFonts w:ascii="Palatino Linotype" w:hAnsi="Palatino Linotype" w:cs="Palatino Linotype"/>
        </w:rPr>
        <w:t>: equilibrada (2,5 · 5 · 7,5 · 10) por defecto, que evita el cero a quien ha producido algo aunque sea flojo, y exigente (0 · 5 · 7,5 · 10), que reserva el cero al trabajo no realizado. La elección se declara en la hoja del alumno; no se oculta.</w:t>
      </w:r>
    </w:p>
    <w:p>
      <w:pPr>
        <w:pStyle w:val="ListBullet"/>
        <w:spacing w:after="60"/>
        <w:jc w:val="both"/>
      </w:pPr>
      <w:r>
        <w:rPr>
          <w:b/>
          <w:i w:val="0"/>
          <w:color w:val="1C1F26"/>
          <w:sz w:val="21"/>
          <w:rFonts w:ascii="Palatino Linotype" w:hAnsi="Palatino Linotype" w:cs="Palatino Linotype"/>
        </w:rPr>
        <w:t>Una dimensión con matriz aporta sus puntos continuos, no el valor de su nivel.</w:t>
      </w:r>
      <w:r>
        <w:rPr>
          <w:b w:val="0"/>
          <w:i w:val="0"/>
          <w:color w:val="1C1F26"/>
          <w:sz w:val="21"/>
          <w:rFonts w:ascii="Palatino Linotype" w:hAnsi="Palatino Linotype" w:cs="Palatino Linotype"/>
        </w:rPr>
        <w:t xml:space="preserve"> Si los puntos se colapsaran a nivel antes de ponderar, un alumno con 8,9 aportaría 7,5 y otro con 9,0 aportaría 10: una décima de desempeño valdría dos puntos y medio de nota. Un escalón así es indefendible.</w:t>
      </w:r>
    </w:p>
    <w:p>
      <w:pPr>
        <w:pStyle w:val="ListBullet"/>
        <w:spacing w:after="60"/>
        <w:jc w:val="both"/>
      </w:pPr>
      <w:r>
        <w:rPr>
          <w:b/>
          <w:i w:val="0"/>
          <w:color w:val="1C1F26"/>
          <w:sz w:val="21"/>
          <w:rFonts w:ascii="Palatino Linotype" w:hAnsi="Palatino Linotype" w:cs="Palatino Linotype"/>
        </w:rPr>
        <w:t>Las penalizaciones aplicadas son negativas y se suman.</w:t>
      </w:r>
      <w:r>
        <w:rPr>
          <w:b w:val="0"/>
          <w:i w:val="0"/>
          <w:color w:val="1C1F26"/>
          <w:sz w:val="21"/>
          <w:rFonts w:ascii="Palatino Linotype" w:hAnsi="Palatino Linotype" w:cs="Palatino Linotype"/>
        </w:rPr>
        <w:t xml:space="preserve"> Es la trampa de signo que parece evidente escrita y es fácil de invertir al leer; restarlas subiría la nota.</w:t>
      </w:r>
    </w:p>
    <w:p>
      <w:pPr>
        <w:pStyle w:val="ListBullet"/>
        <w:spacing w:after="60"/>
        <w:jc w:val="both"/>
      </w:pPr>
      <w:r>
        <w:rPr>
          <w:b/>
          <w:i w:val="0"/>
          <w:color w:val="1C1F26"/>
          <w:sz w:val="21"/>
          <w:rFonts w:ascii="Palatino Linotype" w:hAnsi="Palatino Linotype" w:cs="Palatino Linotype"/>
        </w:rPr>
        <w:t>La puntuación de una dimensión nunca baja de cero</w:t>
      </w:r>
      <w:r>
        <w:rPr>
          <w:b w:val="0"/>
          <w:i w:val="0"/>
          <w:color w:val="1C1F26"/>
          <w:sz w:val="21"/>
          <w:rFonts w:ascii="Palatino Linotype" w:hAnsi="Palatino Linotype" w:cs="Palatino Linotype"/>
        </w:rPr>
        <w:t>, aunque todos los componentes estén en su banda mínima y todas las penalizaciones a tope.</w:t>
      </w:r>
    </w:p>
    <w:p>
      <w:pPr>
        <w:pStyle w:val="ListBullet"/>
        <w:spacing w:after="60"/>
        <w:jc w:val="both"/>
      </w:pPr>
      <w:r>
        <w:rPr>
          <w:b/>
          <w:i w:val="0"/>
          <w:color w:val="1C1F26"/>
          <w:sz w:val="21"/>
          <w:rFonts w:ascii="Palatino Linotype" w:hAnsi="Palatino Linotype" w:cs="Palatino Linotype"/>
        </w:rPr>
        <w:t>El detractor global se aplica antes que la condición mínima</w:t>
      </w:r>
      <w:r>
        <w:rPr>
          <w:b w:val="0"/>
          <w:i w:val="0"/>
          <w:color w:val="1C1F26"/>
          <w:sz w:val="21"/>
          <w:rFonts w:ascii="Palatino Linotype" w:hAnsi="Palatino Linotype" w:cs="Palatino Linotype"/>
        </w:rPr>
        <w:t>, y el orden importa: con una nota de 8, un detractor de 2 y la condición disparada, invertir el orden da 2,9 en lugar de 4,9. Se fija el orden que respeta lo que cada mecanismo significa: el detractor forma parte de calcular la nota; la condición mínima es un límite sobre la nota final.</w:t>
      </w:r>
    </w:p>
    <w:p>
      <w:pPr>
        <w:pStyle w:val="ListBullet"/>
        <w:spacing w:after="60"/>
        <w:jc w:val="both"/>
      </w:pPr>
      <w:r>
        <w:rPr>
          <w:b/>
          <w:i w:val="0"/>
          <w:color w:val="1C1F26"/>
          <w:sz w:val="21"/>
          <w:rFonts w:ascii="Palatino Linotype" w:hAnsi="Palatino Linotype" w:cs="Palatino Linotype"/>
        </w:rPr>
        <w:t>La condición mínima es un techo no acumulativo y desactivado por defecto</w:t>
      </w:r>
      <w:r>
        <w:rPr>
          <w:b w:val="0"/>
          <w:i w:val="0"/>
          <w:color w:val="1C1F26"/>
          <w:sz w:val="21"/>
          <w:rFonts w:ascii="Palatino Linotype" w:hAnsi="Palatino Linotype" w:cs="Palatino Linotype"/>
        </w:rPr>
        <w:t>: limita la nota a 4,9 si un criterio obligatorio queda en el nivel más bajo, nunca la sube, y no actúa si el instrumento no tiene ningún criterio obligatorio. Se deja desactivada porque una condición mínima que no se ha anunciado al alumnado antes de la prueba es difícil de sostener; si se activa, la aplicación la imprime obligatoriamente en la hoja del alumno.</w:t>
      </w:r>
    </w:p>
    <w:p>
      <w:pPr>
        <w:pStyle w:val="ListBullet"/>
        <w:spacing w:after="60"/>
        <w:jc w:val="both"/>
      </w:pPr>
      <w:r>
        <w:rPr>
          <w:b/>
          <w:i w:val="0"/>
          <w:color w:val="1C1F26"/>
          <w:sz w:val="21"/>
          <w:rFonts w:ascii="Palatino Linotype" w:hAnsi="Palatino Linotype" w:cs="Palatino Linotype"/>
        </w:rPr>
        <w:t>Redondeo a la centésima</w:t>
      </w:r>
      <w:r>
        <w:rPr>
          <w:b w:val="0"/>
          <w:i w:val="0"/>
          <w:color w:val="1C1F26"/>
          <w:sz w:val="21"/>
          <w:rFonts w:ascii="Palatino Linotype" w:hAnsi="Palatino Linotype" w:cs="Palatino Linotype"/>
        </w:rPr>
        <w:t>, mitad hacia arriba y con corrección de la representación binaria, aplicado en dos momentos exactos y solo en esos dos: a la puntuación de cada dimensión antes de ponderarla, y a la nota final una sola vez al terminar la suma.</w:t>
      </w:r>
    </w:p>
    <w:p>
      <w:pPr>
        <w:keepNext/>
        <w:spacing w:before="260" w:after="60"/>
      </w:pPr>
      <w:r>
        <w:rPr>
          <w:b/>
          <w:i w:val="0"/>
          <w:color w:val="1C1F26"/>
          <w:sz w:val="23"/>
          <w:rFonts w:ascii="Palatino Linotype" w:hAnsi="Palatino Linotype" w:cs="Palatino Linotype"/>
        </w:rPr>
        <w:t>5.4 De puntos a nivel</w:t>
      </w:r>
    </w:p>
    <w:p>
      <w:pPr>
        <w:jc w:val="both"/>
      </w:pPr>
      <w:r>
        <w:rPr>
          <w:b w:val="0"/>
          <w:i w:val="0"/>
          <w:color w:val="1C1F26"/>
          <w:sz w:val="21"/>
          <w:rFonts w:ascii="Palatino Linotype" w:hAnsi="Palatino Linotype" w:cs="Palatino Linotype"/>
        </w:rPr>
        <w:t xml:space="preserve">Un número de cero a diez se traduce al nombre de su nivel por umbrales cerrados —nueve, siete y cinco— y no por intervalos escritos con un decimal, que dejarían sin cubrir el hueco entre 8,9 y 9,0. Los cuatro nombres canónicos (Iniciado, Suficiente, Notable y Excelente) viven </w:t>
      </w:r>
      <w:r>
        <w:rPr>
          <w:b/>
          <w:i w:val="0"/>
          <w:color w:val="1C1F26"/>
          <w:sz w:val="21"/>
          <w:rFonts w:ascii="Palatino Linotype" w:hAnsi="Palatino Linotype" w:cs="Palatino Linotype"/>
        </w:rPr>
        <w:t>una sola vez</w:t>
      </w:r>
      <w:r>
        <w:rPr>
          <w:b w:val="0"/>
          <w:i w:val="0"/>
          <w:color w:val="1C1F26"/>
          <w:sz w:val="21"/>
          <w:rFonts w:ascii="Palatino Linotype" w:hAnsi="Palatino Linotype" w:cs="Palatino Linotype"/>
        </w:rPr>
        <w:t xml:space="preserve"> en el catálogo de datos, porque estuvieron escritos en cuatro sitios del código y por eso la aplicación siguió imprimiendo un nombre antiguo meses después de que la decisión de cambiarlo estuviera tomada.</w:t>
      </w:r>
    </w:p>
    <w:p>
      <w:pPr>
        <w:keepNext/>
        <w:spacing w:before="260" w:after="60"/>
      </w:pPr>
      <w:r>
        <w:rPr>
          <w:b/>
          <w:i w:val="0"/>
          <w:color w:val="1C1F26"/>
          <w:sz w:val="23"/>
          <w:rFonts w:ascii="Palatino Linotype" w:hAnsi="Palatino Linotype" w:cs="Palatino Linotype"/>
        </w:rPr>
        <w:t>5.5 Proyección exacta a primera persona</w:t>
      </w:r>
    </w:p>
    <w:p>
      <w:pPr>
        <w:jc w:val="both"/>
      </w:pPr>
      <w:r>
        <w:rPr>
          <w:b w:val="0"/>
          <w:i w:val="0"/>
          <w:color w:val="1C1F26"/>
          <w:sz w:val="21"/>
          <w:rFonts w:ascii="Palatino Linotype" w:hAnsi="Palatino Linotype" w:cs="Palatino Linotype"/>
        </w:rPr>
        <w:t xml:space="preserve">La versión de autoevaluación no se redacta aparte: se </w:t>
      </w:r>
      <w:r>
        <w:rPr>
          <w:b/>
          <w:i w:val="0"/>
          <w:color w:val="1C1F26"/>
          <w:sz w:val="21"/>
          <w:rFonts w:ascii="Palatino Linotype" w:hAnsi="Palatino Linotype" w:cs="Palatino Linotype"/>
        </w:rPr>
        <w:t>deriva</w:t>
      </w:r>
      <w:r>
        <w:rPr>
          <w:b w:val="0"/>
          <w:i w:val="0"/>
          <w:color w:val="1C1F26"/>
          <w:sz w:val="21"/>
          <w:rFonts w:ascii="Palatino Linotype" w:hAnsi="Palatino Linotype" w:cs="Palatino Linotype"/>
        </w:rPr>
        <w:t xml:space="preserve"> de la matriz completa reconjugando cada verbo a primera persona a través del banco. El algoritmo tiene dos cautelas que salieron de fallos reales: reconjugar solo el verbo inicial dejaba media matriz mezclando «yo» y «él», porque muchos descriptores llevan un segundo verbo; y reconjugarlos todos convertía «una introducción </w:t>
      </w:r>
      <w:r>
        <w:rPr>
          <w:b/>
          <w:i w:val="0"/>
          <w:color w:val="1C1F26"/>
          <w:sz w:val="21"/>
          <w:rFonts w:ascii="Palatino Linotype" w:hAnsi="Palatino Linotype" w:cs="Palatino Linotype"/>
        </w:rPr>
        <w:t>que delimita</w:t>
      </w:r>
      <w:r>
        <w:rPr>
          <w:b w:val="0"/>
          <w:i w:val="0"/>
          <w:color w:val="1C1F26"/>
          <w:sz w:val="21"/>
          <w:rFonts w:ascii="Palatino Linotype" w:hAnsi="Palatino Linotype" w:cs="Palatino Linotype"/>
        </w:rPr>
        <w:t xml:space="preserve"> el tema» en «que delimito», cambiando de sujeto la introducción por el alumno. La regla final reconjuga todo verbo del banco salvo el que sigue inmediatamente a un relativo.</w:t>
      </w:r>
    </w:p>
    <w:p>
      <w:pPr>
        <w:jc w:val="both"/>
      </w:pPr>
      <w:r>
        <w:rPr>
          <w:b w:val="0"/>
          <w:i w:val="0"/>
          <w:color w:val="1C1F26"/>
          <w:sz w:val="21"/>
          <w:rFonts w:ascii="Palatino Linotype" w:hAnsi="Palatino Linotype" w:cs="Palatino Linotype"/>
        </w:rPr>
        <w:t xml:space="preserve">De ahí viene además una regla de redacción propia: </w:t>
      </w:r>
      <w:r>
        <w:rPr>
          <w:b/>
          <w:i w:val="0"/>
          <w:color w:val="1C1F26"/>
          <w:sz w:val="21"/>
          <w:rFonts w:ascii="Palatino Linotype" w:hAnsi="Palatino Linotype" w:cs="Palatino Linotype"/>
        </w:rPr>
        <w:t>el descriptor no nombra al alumno en tercera persona</w:t>
      </w:r>
      <w:r>
        <w:rPr>
          <w:b w:val="0"/>
          <w:i w:val="0"/>
          <w:color w:val="1C1F26"/>
          <w:sz w:val="21"/>
          <w:rFonts w:ascii="Palatino Linotype" w:hAnsi="Palatino Linotype" w:cs="Palatino Linotype"/>
        </w:rPr>
        <w:t>. El alumno es el sujeto de la frase, así que cualquier otra marca que apunte a él —un posesivo, un dativo— imprimiría «él» dentro de una frase en «yo». Se escribe «por cuenta propia» y no «por su cuenta», «con palabras propias» y no «con sus propias palabras». Un caso dorado fija ese invariante sobre el contenido completo, para que una regresión no llegue nunca al navegador.</w:t>
      </w:r>
    </w:p>
    <w:p>
      <w:pPr>
        <w:keepNext/>
        <w:spacing w:before="260" w:after="60"/>
      </w:pPr>
      <w:r>
        <w:rPr>
          <w:b/>
          <w:i w:val="0"/>
          <w:color w:val="1C1F26"/>
          <w:sz w:val="23"/>
          <w:rFonts w:ascii="Palatino Linotype" w:hAnsi="Palatino Linotype" w:cs="Palatino Linotype"/>
        </w:rPr>
        <w:t>5.6 El validador, dos veces y en paridad comprobada</w:t>
      </w:r>
    </w:p>
    <w:p>
      <w:pPr>
        <w:jc w:val="both"/>
      </w:pPr>
      <w:r>
        <w:rPr>
          <w:b w:val="0"/>
          <w:i w:val="0"/>
          <w:color w:val="1C1F26"/>
          <w:sz w:val="21"/>
          <w:rFonts w:ascii="Palatino Linotype" w:hAnsi="Palatino Linotype" w:cs="Palatino Linotype"/>
        </w:rPr>
        <w:t xml:space="preserve">El validador está implementado dos veces —en Python, para construir el contenido, y en JavaScript, para la aplicación— porque son dos momentos distintos con dos consumidores distintos. Pero son dos programas, no dos criterios: </w:t>
      </w:r>
      <w:r>
        <w:rPr>
          <w:b/>
          <w:i w:val="0"/>
          <w:color w:val="1C1F26"/>
          <w:sz w:val="21"/>
          <w:rFonts w:ascii="Palatino Linotype" w:hAnsi="Palatino Linotype" w:cs="Palatino Linotype"/>
        </w:rPr>
        <w:t>la aplicación nunca puede dar por limpio un pack que el script rechaza</w:t>
      </w:r>
      <w:r>
        <w:rPr>
          <w:b w:val="0"/>
          <w:i w:val="0"/>
          <w:color w:val="1C1F26"/>
          <w:sz w:val="21"/>
          <w:rFonts w:ascii="Palatino Linotype" w:hAnsi="Palatino Linotype" w:cs="Palatino Linotype"/>
        </w:rPr>
        <w:t>, y esa afirmación se comprueba mecánicamente sobre un corpus de trampas construido a propósito. Las palabras y los umbrales no se escriben en ninguna de las dos: salen del archivo de léxico compartido, y la versión JavaScript se genera desde él.</w:t>
      </w:r>
    </w:p>
    <w:p>
      <w:pPr>
        <w:jc w:val="both"/>
      </w:pPr>
      <w:r>
        <w:rPr>
          <w:b w:val="0"/>
          <w:i w:val="0"/>
          <w:color w:val="1C1F26"/>
          <w:sz w:val="21"/>
          <w:rFonts w:ascii="Palatino Linotype" w:hAnsi="Palatino Linotype" w:cs="Palatino Linotype"/>
        </w:rPr>
        <w:t>La única divergencia admitida va en la dirección segura: el script busca por subcadena y por eso marca de más, mientras que la aplicación exige palabra completa en los términos cortos para no marcar «formal» por contener «mal». Está documentada en el código de ambos.</w:t>
      </w:r>
    </w:p>
    <w:p>
      <w:pPr>
        <w:keepNext/>
        <w:spacing w:before="260" w:after="60"/>
      </w:pPr>
      <w:r>
        <w:rPr>
          <w:b/>
          <w:i w:val="0"/>
          <w:color w:val="1C1F26"/>
          <w:sz w:val="23"/>
          <w:rFonts w:ascii="Palatino Linotype" w:hAnsi="Palatino Linotype" w:cs="Palatino Linotype"/>
        </w:rPr>
        <w:t>5.7 El lector de recuentos y la continuidad de bandas</w:t>
      </w:r>
    </w:p>
    <w:p>
      <w:pPr>
        <w:jc w:val="both"/>
      </w:pPr>
      <w:r>
        <w:rPr>
          <w:b w:val="0"/>
          <w:i w:val="0"/>
          <w:color w:val="1C1F26"/>
          <w:sz w:val="21"/>
          <w:rFonts w:ascii="Palatino Linotype" w:hAnsi="Palatino Linotype" w:cs="Palatino Linotype"/>
        </w:rPr>
        <w:t>Una matriz de ortografía —«hasta 2 faltas», «de 3 a 5», «de 6 a 9», «10 o más»— tiene que cubrir todos los recuentos, porque el corrector cuenta y busca su banda: si ninguna dice qué hacer con 4, la nota se decide a ojo justo donde la matriz prometía aritmética, y dos correctores dan dos notas que nadie puede reconstruir. Una matriz de fuentes reunidas —«4 o más», «3», «2», «1»— no tiene esa obligación, porque ahí el recuento sube con la nota.</w:t>
      </w:r>
    </w:p>
    <w:p>
      <w:pPr>
        <w:jc w:val="both"/>
      </w:pPr>
      <w:r>
        <w:rPr>
          <w:b/>
          <w:i w:val="0"/>
          <w:color w:val="1C1F26"/>
          <w:sz w:val="21"/>
          <w:rFonts w:ascii="Palatino Linotype" w:hAnsi="Palatino Linotype" w:cs="Palatino Linotype"/>
        </w:rPr>
        <w:t>Cuál de las dos es no lo declara el pack: se lee de la propia matriz.</w:t>
      </w:r>
      <w:r>
        <w:rPr>
          <w:b w:val="0"/>
          <w:i w:val="0"/>
          <w:color w:val="1C1F26"/>
          <w:sz w:val="21"/>
          <w:rFonts w:ascii="Palatino Linotype" w:hAnsi="Palatino Linotype" w:cs="Palatino Linotype"/>
        </w:rPr>
        <w:t xml:space="preserve"> Si la cuenta sube según bajan los puntos, lo contado es una incidencia; si baja, es un logro. Añadir un campo habría sido la otra salida y se descartó: la dirección de una escala se deduce sin ambigüedad con la matriz delante, y un campo más sería contenido que mantener en nueve packs para repetir un dato ya escrito. El reconocedor tiene además una cautela propia: </w:t>
      </w:r>
      <w:r>
        <w:rPr>
          <w:b/>
          <w:i w:val="0"/>
          <w:color w:val="1C1F26"/>
          <w:sz w:val="21"/>
          <w:rFonts w:ascii="Palatino Linotype" w:hAnsi="Palatino Linotype" w:cs="Palatino Linotype"/>
        </w:rPr>
        <w:t>no interpreta «un», «una» ni «uno» como números</w:t>
      </w:r>
      <w:r>
        <w:rPr>
          <w:b w:val="0"/>
          <w:i w:val="0"/>
          <w:color w:val="1C1F26"/>
          <w:sz w:val="21"/>
          <w:rFonts w:ascii="Palatino Linotype" w:hAnsi="Palatino Linotype" w:cs="Palatino Linotype"/>
        </w:rPr>
        <w:t>, porque en estos textos son artículo mucho más veces que número e inventaban escalas donde no había ninguna.</w:t>
      </w:r>
    </w:p>
    <w:p>
      <w:pPr>
        <w:keepNext/>
        <w:spacing w:before="260" w:after="60"/>
      </w:pPr>
      <w:r>
        <w:rPr>
          <w:b/>
          <w:i w:val="0"/>
          <w:color w:val="1C1F26"/>
          <w:sz w:val="23"/>
          <w:rFonts w:ascii="Palatino Linotype" w:hAnsi="Palatino Linotype" w:cs="Palatino Linotype"/>
        </w:rPr>
        <w:t>5.8 Verificación mecánica de la derivación normativa</w:t>
      </w:r>
    </w:p>
    <w:p>
      <w:pPr>
        <w:jc w:val="both"/>
      </w:pPr>
      <w:r>
        <w:rPr>
          <w:b w:val="0"/>
          <w:i w:val="0"/>
          <w:color w:val="1C1F26"/>
          <w:sz w:val="21"/>
          <w:rFonts w:ascii="Palatino Linotype" w:hAnsi="Palatino Linotype" w:cs="Palatino Linotype"/>
        </w:rPr>
        <w:t xml:space="preserve">Toda afirmación de la obra sobre lo que dice el currículo se comprueba contra el texto real del decreto, y no contra la memoria de quien la escribió. El verificador contrasta las citas literales de los packs y del documento de diseño, la matriz de tareas, el techo de progresión y el género declarado en el vehículo de cada criterio, </w:t>
      </w:r>
      <w:r>
        <w:rPr>
          <w:b/>
          <w:i w:val="0"/>
          <w:color w:val="1C1F26"/>
          <w:sz w:val="21"/>
          <w:rFonts w:ascii="Palatino Linotype" w:hAnsi="Palatino Linotype" w:cs="Palatino Linotype"/>
        </w:rPr>
        <w:t>recortando el currículo por cursos</w:t>
      </w:r>
      <w:r>
        <w:rPr>
          <w:b w:val="0"/>
          <w:i w:val="0"/>
          <w:color w:val="1C1F26"/>
          <w:sz w:val="21"/>
          <w:rFonts w:ascii="Palatino Linotype" w:hAnsi="Palatino Linotype" w:cs="Palatino Linotype"/>
        </w:rPr>
        <w:t xml:space="preserve"> para poder comprobar una cita contra el curso al que dice pertenecer y no contra el documento entero. Fue así como se detectó una cita atribuida a un curso en el que ese género no existe.</w:t>
      </w:r>
    </w:p>
    <w:p>
      <w:pPr>
        <w:jc w:val="both"/>
      </w:pPr>
      <w:r>
        <w:rPr>
          <w:b w:val="0"/>
          <w:i w:val="0"/>
          <w:color w:val="1C1F26"/>
          <w:sz w:val="21"/>
          <w:rFonts w:ascii="Palatino Linotype" w:hAnsi="Palatino Linotype" w:cs="Palatino Linotype"/>
        </w:rPr>
        <w:t xml:space="preserve">El verificador lleva su propia </w:t>
      </w:r>
      <w:r>
        <w:rPr>
          <w:b/>
          <w:i w:val="0"/>
          <w:color w:val="1C1F26"/>
          <w:sz w:val="21"/>
          <w:rFonts w:ascii="Palatino Linotype" w:hAnsi="Palatino Linotype" w:cs="Palatino Linotype"/>
        </w:rPr>
        <w:t>auto-prueba</w:t>
      </w:r>
      <w:r>
        <w:rPr>
          <w:b w:val="0"/>
          <w:i w:val="0"/>
          <w:color w:val="1C1F26"/>
          <w:sz w:val="21"/>
          <w:rFonts w:ascii="Palatino Linotype" w:hAnsi="Palatino Linotype" w:cs="Palatino Linotype"/>
        </w:rPr>
        <w:t>: corrompe deliberadamente una cita, una celda y un techo, y falla si el verificador no los detecta. Una comprobación que no puede fallar no comprueba nada.</w:t>
      </w:r>
    </w:p>
    <w:p>
      <w:pPr>
        <w:keepNext/>
        <w:spacing w:before="260" w:after="60"/>
      </w:pPr>
      <w:r>
        <w:rPr>
          <w:b/>
          <w:i w:val="0"/>
          <w:color w:val="1C1F26"/>
          <w:sz w:val="23"/>
          <w:rFonts w:ascii="Palatino Linotype" w:hAnsi="Palatino Linotype" w:cs="Palatino Linotype"/>
        </w:rPr>
        <w:t>5.9 Simulador de corrección</w:t>
      </w:r>
    </w:p>
    <w:p>
      <w:pPr>
        <w:jc w:val="both"/>
      </w:pPr>
      <w:r>
        <w:rPr>
          <w:b w:val="0"/>
          <w:i w:val="0"/>
          <w:color w:val="1C1F26"/>
          <w:sz w:val="21"/>
          <w:rFonts w:ascii="Palatino Linotype" w:hAnsi="Palatino Linotype" w:cs="Palatino Linotype"/>
        </w:rPr>
        <w:t xml:space="preserve">Toda matriz cuantitativa nueva se prueba </w:t>
      </w:r>
      <w:r>
        <w:rPr>
          <w:b/>
          <w:i w:val="0"/>
          <w:color w:val="1C1F26"/>
          <w:sz w:val="21"/>
          <w:rFonts w:ascii="Palatino Linotype" w:hAnsi="Palatino Linotype" w:cs="Palatino Linotype"/>
        </w:rPr>
        <w:t>simulando una corrección completa</w:t>
      </w:r>
      <w:r>
        <w:rPr>
          <w:b w:val="0"/>
          <w:i w:val="0"/>
          <w:color w:val="1C1F26"/>
          <w:sz w:val="21"/>
          <w:rFonts w:ascii="Palatino Linotype" w:hAnsi="Palatino Linotype" w:cs="Palatino Linotype"/>
        </w:rPr>
        <w:t xml:space="preserve"> con perfiles de alumno antes de darla por buena. El simulador hace lo mecánico —notas por curso y perfil, nivel de cada dimensión, saltos de dos niveles, umbrales planos, ceros y notas fuera de orden— y deja el juicio entero al docente: *¿le pondrías esta nota a un alumno con este perfil?* Está deliberadamente fuera de la comprobación automática, porque pide un juicio y no devuelve un booleano.</w:t>
      </w:r>
    </w:p>
    <w:p>
      <w:pPr>
        <w:keepNext/>
        <w:spacing w:before="260" w:after="60"/>
      </w:pPr>
      <w:r>
        <w:rPr>
          <w:b/>
          <w:i w:val="0"/>
          <w:color w:val="1C1F26"/>
          <w:sz w:val="23"/>
          <w:rFonts w:ascii="Palatino Linotype" w:hAnsi="Palatino Linotype" w:cs="Palatino Linotype"/>
        </w:rPr>
        <w:t>5.10 Una sola orden lo comprueba todo</w:t>
      </w:r>
    </w:p>
    <w:p>
      <w:pPr>
        <w:jc w:val="both"/>
      </w:pPr>
      <w:r>
        <w:rPr>
          <w:b w:val="0"/>
          <w:i w:val="0"/>
          <w:color w:val="1C1F26"/>
          <w:sz w:val="21"/>
          <w:rFonts w:ascii="Palatino Linotype" w:hAnsi="Palatino Linotype" w:cs="Palatino Linotype"/>
        </w:rPr>
        <w:t xml:space="preserve">Las </w:t>
      </w:r>
      <w:r>
        <w:rPr>
          <w:b/>
          <w:i w:val="0"/>
          <w:color w:val="1C1F26"/>
          <w:sz w:val="21"/>
          <w:rFonts w:ascii="Palatino Linotype" w:hAnsi="Palatino Linotype" w:cs="Palatino Linotype"/>
        </w:rPr>
        <w:t>catorce comprobaciones</w:t>
      </w:r>
      <w:r>
        <w:rPr>
          <w:b w:val="0"/>
          <w:i w:val="0"/>
          <w:color w:val="1C1F26"/>
          <w:sz w:val="21"/>
          <w:rFonts w:ascii="Palatino Linotype" w:hAnsi="Palatino Linotype" w:cs="Palatino Linotype"/>
        </w:rPr>
        <w:t xml:space="preserve"> de la obra se ejecutan con una única orden, que es exactamente la misma que ejecuta la integración continua en cada envío, de modo que no exista una segunda lista que mantener: forma de los packs, los derivados al día, reglas de contenido, paridad entre los dos validadores, pruebas del motor y del modelo de calificación, verificación de la derivación con su auto-prueba, y que exista todo lo que la instalación promete. </w:t>
      </w:r>
      <w:r>
        <w:rPr>
          <w:b/>
          <w:i w:val="0"/>
          <w:color w:val="1C1F26"/>
          <w:sz w:val="21"/>
          <w:rFonts w:ascii="Palatino Linotype" w:hAnsi="Palatino Linotype" w:cs="Palatino Linotype"/>
        </w:rPr>
        <w:t>No se cierra un pack con ninguna en rojo ni con ninguna saltada.</w:t>
      </w:r>
      <w:r>
        <w:rPr>
          <w:b w:val="0"/>
          <w:i w:val="0"/>
          <w:color w:val="1C1F26"/>
          <w:sz w:val="21"/>
          <w:rFonts w:ascii="Palatino Linotype" w:hAnsi="Palatino Linotype" w:cs="Palatino Linotype"/>
        </w:rPr>
        <w:t xml:space="preserve"> A fecha de 31 de agosto de 2026 las catorce están limpias.</w:t>
      </w:r>
    </w:p>
    <w:p>
      <w:r>
        <w:br w:type="page"/>
      </w:r>
    </w:p>
    <w:p>
      <w:pPr>
        <w:keepNext/>
        <w:spacing w:before="440" w:after="120"/>
      </w:pPr>
      <w:r>
        <w:rPr>
          <w:b/>
          <w:i w:val="0"/>
          <w:color w:val="7A3B2E"/>
          <w:sz w:val="30"/>
          <w:rFonts w:ascii="Palatino Linotype" w:hAnsi="Palatino Linotype" w:cs="Palatino Linotype"/>
        </w:rPr>
        <w:t>6. METODOLOGÍA PEDAGÓGICA ORIGINAL</w:t>
      </w:r>
    </w:p>
    <w:p>
      <w:pPr>
        <w:jc w:val="both"/>
      </w:pPr>
      <w:r>
        <w:rPr>
          <w:b w:val="0"/>
          <w:i w:val="0"/>
          <w:color w:val="1C1F26"/>
          <w:sz w:val="21"/>
          <w:rFonts w:ascii="Palatino Linotype" w:hAnsi="Palatino Linotype" w:cs="Palatino Linotype"/>
        </w:rPr>
        <w:t xml:space="preserve">La obra no es un editor de tablas con una capa de currículo encima: es la materialización en software de un conjunto de reglas evaluativas que el autor sostiene y que el programa </w:t>
      </w:r>
      <w:r>
        <w:rPr>
          <w:b/>
          <w:i w:val="0"/>
          <w:color w:val="1C1F26"/>
          <w:sz w:val="21"/>
          <w:rFonts w:ascii="Palatino Linotype" w:hAnsi="Palatino Linotype" w:cs="Palatino Linotype"/>
        </w:rPr>
        <w:t>hace cumplir mecánicamente</w:t>
      </w:r>
      <w:r>
        <w:rPr>
          <w:b w:val="0"/>
          <w:i w:val="0"/>
          <w:color w:val="1C1F26"/>
          <w:sz w:val="21"/>
          <w:rFonts w:ascii="Palatino Linotype" w:hAnsi="Palatino Linotype" w:cs="Palatino Linotype"/>
        </w:rPr>
        <w:t>. Cada principio tiene aquí su consecuencia técnica concreta, y esa traducción es la aportación original.</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4706"/>
        <w:gridCol w:w="4706"/>
      </w:tblGrid>
      <w:tr>
        <w:tc>
          <w:tcPr>
            <w:tcW w:type="dxa" w:w="2721"/>
            <w:shd w:val="clear" w:fill="F4F2EE"/>
          </w:tcPr>
          <w:p>
            <w:pPr>
              <w:spacing w:before="60" w:after="60"/>
            </w:pPr>
            <w:r>
              <w:rPr>
                <w:b/>
                <w:i w:val="0"/>
                <w:color w:val="1C1F26"/>
                <w:sz w:val="18"/>
                <w:rFonts w:ascii="Palatino Linotype" w:hAnsi="Palatino Linotype" w:cs="Palatino Linotype"/>
              </w:rPr>
              <w:t>Principio</w:t>
            </w:r>
          </w:p>
        </w:tc>
        <w:tc>
          <w:tcPr>
            <w:tcW w:type="dxa" w:w="6690"/>
            <w:shd w:val="clear" w:fill="F4F2EE"/>
          </w:tcPr>
          <w:p>
            <w:pPr>
              <w:spacing w:before="60" w:after="60"/>
            </w:pPr>
            <w:r>
              <w:rPr>
                <w:b/>
                <w:i w:val="0"/>
                <w:color w:val="1C1F26"/>
                <w:sz w:val="18"/>
                <w:rFonts w:ascii="Palatino Linotype" w:hAnsi="Palatino Linotype" w:cs="Palatino Linotype"/>
              </w:rPr>
              <w:t>Cómo lo impone el programa</w:t>
            </w:r>
          </w:p>
        </w:tc>
      </w:tr>
      <w:tr>
        <w:tc>
          <w:tcPr>
            <w:tcW w:type="dxa" w:w="2721"/>
          </w:tcPr>
          <w:p>
            <w:pPr>
              <w:spacing w:before="60" w:after="60"/>
            </w:pPr>
            <w:r>
              <w:rPr>
                <w:b/>
                <w:i w:val="0"/>
                <w:color w:val="1C1F26"/>
                <w:sz w:val="18"/>
                <w:rFonts w:ascii="Palatino Linotype" w:hAnsi="Palatino Linotype" w:cs="Palatino Linotype"/>
              </w:rPr>
              <w:t>Las rúbricas se derivan, no se inventan</w:t>
            </w:r>
          </w:p>
        </w:tc>
        <w:tc>
          <w:tcPr>
            <w:tcW w:type="dxa" w:w="6690"/>
          </w:tcPr>
          <w:p>
            <w:pPr>
              <w:spacing w:before="60" w:after="60"/>
            </w:pPr>
            <w:r>
              <w:rPr>
                <w:b w:val="0"/>
                <w:i w:val="0"/>
                <w:color w:val="1C1F26"/>
                <w:sz w:val="18"/>
                <w:rFonts w:ascii="Palatino Linotype" w:hAnsi="Palatino Linotype" w:cs="Palatino Linotype"/>
              </w:rPr>
              <w:t>Campo de cita oficial obligatorio en cada criterio. Un criterio sin referencia normativa no supera la validación y no se carga.</w:t>
            </w:r>
          </w:p>
        </w:tc>
      </w:tr>
      <w:tr>
        <w:tc>
          <w:tcPr>
            <w:tcW w:type="dxa" w:w="2721"/>
          </w:tcPr>
          <w:p>
            <w:pPr>
              <w:spacing w:before="60" w:after="60"/>
            </w:pPr>
            <w:r>
              <w:rPr>
                <w:b/>
                <w:i w:val="0"/>
                <w:color w:val="1C1F26"/>
                <w:sz w:val="18"/>
                <w:rFonts w:ascii="Palatino Linotype" w:hAnsi="Palatino Linotype" w:cs="Palatino Linotype"/>
              </w:rPr>
              <w:t>Los saberes son vehículo, nunca fila</w:t>
            </w:r>
          </w:p>
        </w:tc>
        <w:tc>
          <w:tcPr>
            <w:tcW w:type="dxa" w:w="6690"/>
          </w:tcPr>
          <w:p>
            <w:pPr>
              <w:spacing w:before="60" w:after="60"/>
            </w:pPr>
            <w:r>
              <w:rPr>
                <w:b w:val="0"/>
                <w:i w:val="0"/>
                <w:color w:val="1C1F26"/>
                <w:sz w:val="18"/>
                <w:rFonts w:ascii="Palatino Linotype" w:hAnsi="Palatino Linotype" w:cs="Palatino Linotype"/>
              </w:rPr>
              <w:t>El contenido vehiculado se guarda en un campo separado del nombre de la dimensión, y el validador rechaza los nombres que son un tema en lugar de una acción competencial.</w:t>
            </w:r>
          </w:p>
        </w:tc>
      </w:tr>
      <w:tr>
        <w:tc>
          <w:tcPr>
            <w:tcW w:type="dxa" w:w="2721"/>
          </w:tcPr>
          <w:p>
            <w:pPr>
              <w:spacing w:before="60" w:after="60"/>
            </w:pPr>
            <w:r>
              <w:rPr>
                <w:b/>
                <w:i w:val="0"/>
                <w:color w:val="1C1F26"/>
                <w:sz w:val="18"/>
                <w:rFonts w:ascii="Palatino Linotype" w:hAnsi="Palatino Linotype" w:cs="Palatino Linotype"/>
              </w:rPr>
              <w:t>Cuatro niveles, siempre</w:t>
            </w:r>
          </w:p>
        </w:tc>
        <w:tc>
          <w:tcPr>
            <w:tcW w:type="dxa" w:w="6690"/>
          </w:tcPr>
          <w:p>
            <w:pPr>
              <w:spacing w:before="60" w:after="60"/>
            </w:pPr>
            <w:r>
              <w:rPr>
                <w:b w:val="0"/>
                <w:i w:val="0"/>
                <w:color w:val="1C1F26"/>
                <w:sz w:val="18"/>
                <w:rFonts w:ascii="Palatino Linotype" w:hAnsi="Palatino Linotype" w:cs="Palatino Linotype"/>
              </w:rPr>
              <w:t>Escala fija en todo el sistema, no configurable, con bandas sobre diez y nombres canónicos escritos una sola vez.</w:t>
            </w:r>
          </w:p>
        </w:tc>
      </w:tr>
      <w:tr>
        <w:tc>
          <w:tcPr>
            <w:tcW w:type="dxa" w:w="2721"/>
          </w:tcPr>
          <w:p>
            <w:pPr>
              <w:spacing w:before="60" w:after="60"/>
            </w:pPr>
            <w:r>
              <w:rPr>
                <w:b/>
                <w:i w:val="0"/>
                <w:color w:val="1C1F26"/>
                <w:sz w:val="18"/>
                <w:rFonts w:ascii="Palatino Linotype" w:hAnsi="Palatino Linotype" w:cs="Palatino Linotype"/>
              </w:rPr>
              <w:t>Cero adverbitis</w:t>
            </w:r>
          </w:p>
        </w:tc>
        <w:tc>
          <w:tcPr>
            <w:tcW w:type="dxa" w:w="6690"/>
          </w:tcPr>
          <w:p>
            <w:pPr>
              <w:spacing w:before="60" w:after="60"/>
            </w:pPr>
            <w:r>
              <w:rPr>
                <w:b w:val="0"/>
                <w:i w:val="0"/>
                <w:color w:val="1C1F26"/>
                <w:sz w:val="18"/>
                <w:rFonts w:ascii="Palatino Linotype" w:hAnsi="Palatino Linotype" w:cs="Palatino Linotype"/>
              </w:rPr>
              <w:t>Banco cerrado de verbos y reglas que bloquean los calificadores vagos, tanto en el descriptor como dentro de las bandas de una matriz.</w:t>
            </w:r>
          </w:p>
        </w:tc>
      </w:tr>
      <w:tr>
        <w:tc>
          <w:tcPr>
            <w:tcW w:type="dxa" w:w="2721"/>
          </w:tcPr>
          <w:p>
            <w:pPr>
              <w:spacing w:before="60" w:after="60"/>
            </w:pPr>
            <w:r>
              <w:rPr>
                <w:b/>
                <w:i w:val="0"/>
                <w:color w:val="1C1F26"/>
                <w:sz w:val="18"/>
                <w:rFonts w:ascii="Palatino Linotype" w:hAnsi="Palatino Linotype" w:cs="Palatino Linotype"/>
              </w:rPr>
              <w:t>Gradación positiva incluso en el nivel bajo</w:t>
            </w:r>
          </w:p>
        </w:tc>
        <w:tc>
          <w:tcPr>
            <w:tcW w:type="dxa" w:w="6690"/>
          </w:tcPr>
          <w:p>
            <w:pPr>
              <w:spacing w:before="60" w:after="60"/>
            </w:pPr>
            <w:r>
              <w:rPr>
                <w:b w:val="0"/>
                <w:i w:val="0"/>
                <w:color w:val="1C1F26"/>
                <w:sz w:val="18"/>
                <w:rFonts w:ascii="Palatino Linotype" w:hAnsi="Palatino Linotype" w:cs="Palatino Linotype"/>
              </w:rPr>
              <w:t>El nivel 1 describe lo que el alumno sí hace de forma limitada. El validador marca todo descriptor de nivel 1 que empiece por una negación.</w:t>
            </w:r>
          </w:p>
        </w:tc>
      </w:tr>
      <w:tr>
        <w:tc>
          <w:tcPr>
            <w:tcW w:type="dxa" w:w="2721"/>
          </w:tcPr>
          <w:p>
            <w:pPr>
              <w:spacing w:before="60" w:after="60"/>
            </w:pPr>
            <w:r>
              <w:rPr>
                <w:b/>
                <w:i w:val="0"/>
                <w:color w:val="1C1F26"/>
                <w:sz w:val="18"/>
                <w:rFonts w:ascii="Palatino Linotype" w:hAnsi="Palatino Linotype" w:cs="Palatino Linotype"/>
              </w:rPr>
              <w:t>La progresión la fija el currículo</w:t>
            </w:r>
          </w:p>
        </w:tc>
        <w:tc>
          <w:tcPr>
            <w:tcW w:type="dxa" w:w="6690"/>
          </w:tcPr>
          <w:p>
            <w:pPr>
              <w:spacing w:before="60" w:after="60"/>
            </w:pPr>
            <w:r>
              <w:rPr>
                <w:b w:val="0"/>
                <w:i w:val="0"/>
                <w:color w:val="1C1F26"/>
                <w:sz w:val="18"/>
                <w:rFonts w:ascii="Palatino Linotype" w:hAnsi="Palatino Linotype" w:cs="Palatino Linotype"/>
              </w:rPr>
              <w:t>Campo de progresión en tres ejes y regla de modalizadores en dos direcciones. Se descartaron dos formulaciones anteriores que ponían un techo cognitivo por curso: marcaban como error descriptores correctos, porque el verbo lo pone el criterio.</w:t>
            </w:r>
          </w:p>
        </w:tc>
      </w:tr>
      <w:tr>
        <w:tc>
          <w:tcPr>
            <w:tcW w:type="dxa" w:w="2721"/>
          </w:tcPr>
          <w:p>
            <w:pPr>
              <w:spacing w:before="60" w:after="60"/>
            </w:pPr>
            <w:r>
              <w:rPr>
                <w:b/>
                <w:i w:val="0"/>
                <w:color w:val="1C1F26"/>
                <w:sz w:val="18"/>
                <w:rFonts w:ascii="Palatino Linotype" w:hAnsi="Palatino Linotype" w:cs="Palatino Linotype"/>
              </w:rPr>
              <w:t>La transparencia es una salida</w:t>
            </w:r>
          </w:p>
        </w:tc>
        <w:tc>
          <w:tcPr>
            <w:tcW w:type="dxa" w:w="6690"/>
          </w:tcPr>
          <w:p>
            <w:pPr>
              <w:spacing w:before="60" w:after="60"/>
            </w:pPr>
            <w:r>
              <w:rPr>
                <w:b w:val="0"/>
                <w:i w:val="0"/>
                <w:color w:val="1C1F26"/>
                <w:sz w:val="18"/>
                <w:rFonts w:ascii="Palatino Linotype" w:hAnsi="Palatino Linotype" w:cs="Palatino Linotype"/>
              </w:rPr>
              <w:t>La hoja del alumno se genera siempre y no se puede desmarcar.</w:t>
            </w:r>
          </w:p>
        </w:tc>
      </w:tr>
      <w:tr>
        <w:tc>
          <w:tcPr>
            <w:tcW w:type="dxa" w:w="2721"/>
          </w:tcPr>
          <w:p>
            <w:pPr>
              <w:spacing w:before="60" w:after="60"/>
            </w:pPr>
            <w:r>
              <w:rPr>
                <w:b/>
                <w:i w:val="0"/>
                <w:color w:val="1C1F26"/>
                <w:sz w:val="18"/>
                <w:rFonts w:ascii="Palatino Linotype" w:hAnsi="Palatino Linotype" w:cs="Palatino Linotype"/>
              </w:rPr>
              <w:t>Sostenibilidad de la corrección</w:t>
            </w:r>
          </w:p>
        </w:tc>
        <w:tc>
          <w:tcPr>
            <w:tcW w:type="dxa" w:w="6690"/>
          </w:tcPr>
          <w:p>
            <w:pPr>
              <w:spacing w:before="60" w:after="60"/>
            </w:pPr>
            <w:r>
              <w:rPr>
                <w:b w:val="0"/>
                <w:i w:val="0"/>
                <w:color w:val="1C1F26"/>
                <w:sz w:val="18"/>
                <w:rFonts w:ascii="Palatino Linotype" w:hAnsi="Palatino Linotype" w:cs="Palatino Linotype"/>
              </w:rPr>
              <w:t>Filtro de profundidad por tiempo real e indicador de complejidad, con aviso activo por encima de cinco dimensiones.</w:t>
            </w:r>
          </w:p>
        </w:tc>
      </w:tr>
      <w:tr>
        <w:tc>
          <w:tcPr>
            <w:tcW w:type="dxa" w:w="2721"/>
          </w:tcPr>
          <w:p>
            <w:pPr>
              <w:spacing w:before="60" w:after="60"/>
            </w:pPr>
            <w:r>
              <w:rPr>
                <w:b/>
                <w:i w:val="0"/>
                <w:color w:val="1C1F26"/>
                <w:sz w:val="18"/>
                <w:rFonts w:ascii="Palatino Linotype" w:hAnsi="Palatino Linotype" w:cs="Palatino Linotype"/>
              </w:rPr>
              <w:t>Ponderación igual por defecto</w:t>
            </w:r>
          </w:p>
        </w:tc>
        <w:tc>
          <w:tcPr>
            <w:tcW w:type="dxa" w:w="6690"/>
          </w:tcPr>
          <w:p>
            <w:pPr>
              <w:spacing w:before="60" w:after="60"/>
            </w:pPr>
            <w:r>
              <w:rPr>
                <w:b w:val="0"/>
                <w:i w:val="0"/>
                <w:color w:val="1C1F26"/>
                <w:sz w:val="18"/>
                <w:rFonts w:ascii="Palatino Linotype" w:hAnsi="Palatino Linotype" w:cs="Palatino Linotype"/>
              </w:rPr>
              <w:t>Desigualarla exige una razón declarada, que la hoja del alumno imprime y el validador reclama.</w:t>
            </w:r>
          </w:p>
        </w:tc>
      </w:tr>
      <w:tr>
        <w:tc>
          <w:tcPr>
            <w:tcW w:type="dxa" w:w="2721"/>
          </w:tcPr>
          <w:p>
            <w:pPr>
              <w:spacing w:before="60" w:after="60"/>
            </w:pPr>
            <w:r>
              <w:rPr>
                <w:b/>
                <w:i w:val="0"/>
                <w:color w:val="1C1F26"/>
                <w:sz w:val="18"/>
                <w:rFonts w:ascii="Palatino Linotype" w:hAnsi="Palatino Linotype" w:cs="Palatino Linotype"/>
              </w:rPr>
              <w:t>Ni doble castigo ni descuento sin tope</w:t>
            </w:r>
          </w:p>
        </w:tc>
        <w:tc>
          <w:tcPr>
            <w:tcW w:type="dxa" w:w="6690"/>
          </w:tcPr>
          <w:p>
            <w:pPr>
              <w:spacing w:before="60" w:after="60"/>
            </w:pPr>
            <w:r>
              <w:rPr>
                <w:b w:val="0"/>
                <w:i w:val="0"/>
                <w:color w:val="1C1F26"/>
                <w:sz w:val="18"/>
                <w:rFonts w:ascii="Palatino Linotype" w:hAnsi="Palatino Linotype" w:cs="Palatino Linotype"/>
              </w:rPr>
              <w:t>Regla de validación que impide que una penalización mida lo que un componente ya recoge, y tope obligatorio en cada descuento.</w:t>
            </w:r>
          </w:p>
        </w:tc>
      </w:tr>
      <w:tr>
        <w:tc>
          <w:tcPr>
            <w:tcW w:type="dxa" w:w="2721"/>
          </w:tcPr>
          <w:p>
            <w:pPr>
              <w:spacing w:before="60" w:after="60"/>
            </w:pPr>
            <w:r>
              <w:rPr>
                <w:b/>
                <w:i w:val="0"/>
                <w:color w:val="1C1F26"/>
                <w:sz w:val="18"/>
                <w:rFonts w:ascii="Palatino Linotype" w:hAnsi="Palatino Linotype" w:cs="Palatino Linotype"/>
              </w:rPr>
              <w:t>El error no resta en absoluto: resta acotado</w:t>
            </w:r>
          </w:p>
        </w:tc>
        <w:tc>
          <w:tcPr>
            <w:tcW w:type="dxa" w:w="6690"/>
          </w:tcPr>
          <w:p>
            <w:pPr>
              <w:spacing w:before="60" w:after="60"/>
            </w:pPr>
            <w:r>
              <w:rPr>
                <w:b w:val="0"/>
                <w:i w:val="0"/>
                <w:color w:val="1C1F26"/>
                <w:sz w:val="18"/>
                <w:rFonts w:ascii="Palatino Linotype" w:hAnsi="Palatino Linotype" w:cs="Palatino Linotype"/>
              </w:rPr>
              <w:t>Todo descuento tiene techo declarado, la dimensión nunca baja de cero y la vía de mejora queda señalada al lado.</w:t>
            </w:r>
          </w:p>
        </w:tc>
      </w:tr>
      <w:tr>
        <w:tc>
          <w:tcPr>
            <w:tcW w:type="dxa" w:w="2721"/>
          </w:tcPr>
          <w:p>
            <w:pPr>
              <w:spacing w:before="60" w:after="60"/>
            </w:pPr>
            <w:r>
              <w:rPr>
                <w:b/>
                <w:i w:val="0"/>
                <w:color w:val="1C1F26"/>
                <w:sz w:val="18"/>
                <w:rFonts w:ascii="Palatino Linotype" w:hAnsi="Palatino Linotype" w:cs="Palatino Linotype"/>
              </w:rPr>
              <w:t>La herramienta enseña mientras se usa</w:t>
            </w:r>
          </w:p>
        </w:tc>
        <w:tc>
          <w:tcPr>
            <w:tcW w:type="dxa" w:w="6690"/>
          </w:tcPr>
          <w:p>
            <w:pPr>
              <w:spacing w:before="60" w:after="60"/>
            </w:pPr>
            <w:r>
              <w:rPr>
                <w:b w:val="0"/>
                <w:i w:val="0"/>
                <w:color w:val="1C1F26"/>
                <w:sz w:val="18"/>
                <w:rFonts w:ascii="Palatino Linotype" w:hAnsi="Palatino Linotype" w:cs="Palatino Linotype"/>
              </w:rPr>
              <w:t>Microexplicación en cada control y explicación de la regla en cada aviso del validador. El objetivo no es que existan más rúbricas, sino que se sepan usar.</w:t>
            </w:r>
          </w:p>
        </w:tc>
      </w:tr>
    </w:tbl>
    <w:p>
      <w:pPr>
        <w:spacing w:after="0"/>
      </w:pPr>
    </w:p>
    <w:p>
      <w:r>
        <w:br w:type="page"/>
      </w:r>
    </w:p>
    <w:p>
      <w:pPr>
        <w:keepNext/>
        <w:spacing w:before="440" w:after="120"/>
      </w:pPr>
      <w:r>
        <w:rPr>
          <w:b/>
          <w:i w:val="0"/>
          <w:color w:val="7A3B2E"/>
          <w:sz w:val="30"/>
          <w:rFonts w:ascii="Palatino Linotype" w:hAnsi="Palatino Linotype" w:cs="Palatino Linotype"/>
        </w:rPr>
        <w:t>7. APORTACIÓN DIDÁCTICA ORIGINAL</w:t>
      </w:r>
    </w:p>
    <w:p>
      <w:pPr>
        <w:keepNext/>
        <w:spacing w:before="260" w:after="60"/>
      </w:pPr>
      <w:r>
        <w:rPr>
          <w:b/>
          <w:i w:val="0"/>
          <w:color w:val="1C1F26"/>
          <w:sz w:val="23"/>
          <w:rFonts w:ascii="Palatino Linotype" w:hAnsi="Palatino Linotype" w:cs="Palatino Linotype"/>
        </w:rPr>
        <w:t>7.1 Naturaleza de la aportación</w:t>
      </w:r>
    </w:p>
    <w:p>
      <w:pPr>
        <w:jc w:val="both"/>
      </w:pPr>
      <w:r>
        <w:rPr>
          <w:b w:val="0"/>
          <w:i w:val="0"/>
          <w:color w:val="1C1F26"/>
          <w:sz w:val="21"/>
          <w:rFonts w:ascii="Palatino Linotype" w:hAnsi="Palatino Linotype" w:cs="Palatino Linotype"/>
        </w:rPr>
        <w:t>La obra no se agota en su condición de programa de ordenador: incorpora un cuerpo sustancial de contenidos didácticos originales, de creación propia del autor, elaborados por derivación del currículo oficial. Estos contenidos constituyen expresión protegida por el derecho de autor y forman parte inseparable del valor de la obra.</w:t>
      </w:r>
    </w:p>
    <w:p>
      <w:pPr>
        <w:jc w:val="both"/>
      </w:pPr>
      <w:r>
        <w:rPr>
          <w:b w:val="0"/>
          <w:i w:val="0"/>
          <w:color w:val="1C1F26"/>
          <w:sz w:val="21"/>
          <w:rFonts w:ascii="Palatino Linotype" w:hAnsi="Palatino Linotype" w:cs="Palatino Linotype"/>
        </w:rPr>
        <w:t xml:space="preserve">A los efectos de esta memoria conviene precisar que la protección recae sobre la </w:t>
      </w:r>
      <w:r>
        <w:rPr>
          <w:b/>
          <w:i w:val="0"/>
          <w:color w:val="1C1F26"/>
          <w:sz w:val="21"/>
          <w:rFonts w:ascii="Palatino Linotype" w:hAnsi="Palatino Linotype" w:cs="Palatino Linotype"/>
        </w:rPr>
        <w:t>expresión concreta</w:t>
      </w:r>
      <w:r>
        <w:rPr>
          <w:b w:val="0"/>
          <w:i w:val="0"/>
          <w:color w:val="1C1F26"/>
          <w:sz w:val="21"/>
          <w:rFonts w:ascii="Palatino Linotype" w:hAnsi="Palatino Linotype" w:cs="Palatino Linotype"/>
        </w:rPr>
        <w:t xml:space="preserve"> de dichos contenidos —los textos, las matrices, las secuencias y los criterios tal como han sido redactados y organizados por el autor— y no sobre las ideas, los métodos o los conceptos pedagógicos en abstracto, que la legislación excluye de protección. La cita literal del criterio oficial procede del decreto autonómico y no es objeto de apropiación alguna: lo original es la </w:t>
      </w:r>
      <w:r>
        <w:rPr>
          <w:b/>
          <w:i w:val="0"/>
          <w:color w:val="1C1F26"/>
          <w:sz w:val="21"/>
          <w:rFonts w:ascii="Palatino Linotype" w:hAnsi="Palatino Linotype" w:cs="Palatino Linotype"/>
        </w:rPr>
        <w:t>derivación</w:t>
      </w:r>
      <w:r>
        <w:rPr>
          <w:b w:val="0"/>
          <w:i w:val="0"/>
          <w:color w:val="1C1F26"/>
          <w:sz w:val="21"/>
          <w:rFonts w:ascii="Palatino Linotype" w:hAnsi="Palatino Linotype" w:cs="Palatino Linotype"/>
        </w:rPr>
        <w:t>, es decir, el trabajo de convertir esa cita en dimensiones evaluables, descriptores graduados y bandas medibles.</w:t>
      </w:r>
    </w:p>
    <w:p>
      <w:pPr>
        <w:keepNext/>
        <w:spacing w:before="260" w:after="60"/>
      </w:pPr>
      <w:r>
        <w:rPr>
          <w:b/>
          <w:i w:val="0"/>
          <w:color w:val="1C1F26"/>
          <w:sz w:val="23"/>
          <w:rFonts w:ascii="Palatino Linotype" w:hAnsi="Palatino Linotype" w:cs="Palatino Linotype"/>
        </w:rPr>
        <w:t>7.2 Contenidos didácticos originales</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4706"/>
        <w:gridCol w:w="4706"/>
      </w:tblGrid>
      <w:tr>
        <w:tc>
          <w:tcPr>
            <w:tcW w:type="dxa" w:w="2608"/>
            <w:shd w:val="clear" w:fill="F4F2EE"/>
          </w:tcPr>
          <w:p>
            <w:pPr>
              <w:spacing w:before="60" w:after="60"/>
            </w:pPr>
            <w:r>
              <w:rPr>
                <w:b/>
                <w:i w:val="0"/>
                <w:color w:val="1C1F26"/>
                <w:sz w:val="18"/>
                <w:rFonts w:ascii="Palatino Linotype" w:hAnsi="Palatino Linotype" w:cs="Palatino Linotype"/>
              </w:rPr>
              <w:t>Contenido</w:t>
            </w:r>
          </w:p>
        </w:tc>
        <w:tc>
          <w:tcPr>
            <w:tcW w:type="dxa" w:w="6803"/>
            <w:shd w:val="clear" w:fill="F4F2EE"/>
          </w:tcPr>
          <w:p>
            <w:pPr>
              <w:spacing w:before="60" w:after="60"/>
            </w:pPr>
            <w:r>
              <w:rPr>
                <w:b/>
                <w:i w:val="0"/>
                <w:color w:val="1C1F26"/>
                <w:sz w:val="18"/>
                <w:rFonts w:ascii="Palatino Linotype" w:hAnsi="Palatino Linotype" w:cs="Palatino Linotype"/>
              </w:rPr>
              <w:t>Descripción</w:t>
            </w:r>
          </w:p>
        </w:tc>
      </w:tr>
      <w:tr>
        <w:tc>
          <w:tcPr>
            <w:tcW w:type="dxa" w:w="2608"/>
          </w:tcPr>
          <w:p>
            <w:pPr>
              <w:spacing w:before="60" w:after="60"/>
            </w:pPr>
            <w:r>
              <w:rPr>
                <w:b w:val="0"/>
                <w:i w:val="0"/>
                <w:color w:val="1C1F26"/>
                <w:sz w:val="18"/>
                <w:rFonts w:ascii="Palatino Linotype" w:hAnsi="Palatino Linotype" w:cs="Palatino Linotype"/>
              </w:rPr>
              <w:t>Biblioteca de criterios derivados</w:t>
            </w:r>
          </w:p>
        </w:tc>
        <w:tc>
          <w:tcPr>
            <w:tcW w:type="dxa" w:w="6803"/>
          </w:tcPr>
          <w:p>
            <w:pPr>
              <w:spacing w:before="60" w:after="60"/>
            </w:pPr>
            <w:r>
              <w:rPr>
                <w:b w:val="0"/>
                <w:i w:val="0"/>
                <w:color w:val="1C1F26"/>
                <w:sz w:val="18"/>
                <w:rFonts w:ascii="Palatino Linotype" w:hAnsi="Palatino Linotype" w:cs="Palatino Linotype"/>
              </w:rPr>
              <w:t>249 criterios de evaluación en diez tipos de tarea y seis cursos, cada uno con su cita literal del decreto, su vehículo de saberes y su posición en los tres ejes de progresión.</w:t>
            </w:r>
          </w:p>
        </w:tc>
      </w:tr>
      <w:tr>
        <w:tc>
          <w:tcPr>
            <w:tcW w:type="dxa" w:w="2608"/>
          </w:tcPr>
          <w:p>
            <w:pPr>
              <w:spacing w:before="60" w:after="60"/>
            </w:pPr>
            <w:r>
              <w:rPr>
                <w:b w:val="0"/>
                <w:i w:val="0"/>
                <w:color w:val="1C1F26"/>
                <w:sz w:val="18"/>
                <w:rFonts w:ascii="Palatino Linotype" w:hAnsi="Palatino Linotype" w:cs="Palatino Linotype"/>
              </w:rPr>
              <w:t>Descriptores de nivel</w:t>
            </w:r>
          </w:p>
        </w:tc>
        <w:tc>
          <w:tcPr>
            <w:tcW w:type="dxa" w:w="6803"/>
          </w:tcPr>
          <w:p>
            <w:pPr>
              <w:spacing w:before="60" w:after="60"/>
            </w:pPr>
            <w:r>
              <w:rPr>
                <w:b w:val="0"/>
                <w:i w:val="0"/>
                <w:color w:val="1C1F26"/>
                <w:sz w:val="18"/>
                <w:rFonts w:ascii="Palatino Linotype" w:hAnsi="Palatino Linotype" w:cs="Palatino Linotype"/>
              </w:rPr>
              <w:t>996 descriptores redactados con la fórmula propia «verbo del banco + objeto o saber-vehículo + condición o finalidad comunicativa», en 67 dimensiones distintas y sin calificadores vagos.</w:t>
            </w:r>
          </w:p>
        </w:tc>
      </w:tr>
      <w:tr>
        <w:tc>
          <w:tcPr>
            <w:tcW w:type="dxa" w:w="2608"/>
          </w:tcPr>
          <w:p>
            <w:pPr>
              <w:spacing w:before="60" w:after="60"/>
            </w:pPr>
            <w:r>
              <w:rPr>
                <w:b w:val="0"/>
                <w:i w:val="0"/>
                <w:color w:val="1C1F26"/>
                <w:sz w:val="18"/>
                <w:rFonts w:ascii="Palatino Linotype" w:hAnsi="Palatino Linotype" w:cs="Palatino Linotype"/>
              </w:rPr>
              <w:t>Matrices cuantitativas de corrección</w:t>
            </w:r>
          </w:p>
        </w:tc>
        <w:tc>
          <w:tcPr>
            <w:tcW w:type="dxa" w:w="6803"/>
          </w:tcPr>
          <w:p>
            <w:pPr>
              <w:spacing w:before="60" w:after="60"/>
            </w:pPr>
            <w:r>
              <w:rPr>
                <w:b w:val="0"/>
                <w:i w:val="0"/>
                <w:color w:val="1C1F26"/>
                <w:sz w:val="18"/>
                <w:rFonts w:ascii="Palatino Linotype" w:hAnsi="Palatino Linotype" w:cs="Palatino Linotype"/>
              </w:rPr>
              <w:t>189 matrices con 586 componentes y 2.930 bandas contables, calibradas curso a curso y probadas por simulación de corrección con perfiles de alumno.</w:t>
            </w:r>
          </w:p>
        </w:tc>
      </w:tr>
      <w:tr>
        <w:tc>
          <w:tcPr>
            <w:tcW w:type="dxa" w:w="2608"/>
          </w:tcPr>
          <w:p>
            <w:pPr>
              <w:spacing w:before="60" w:after="60"/>
            </w:pPr>
            <w:r>
              <w:rPr>
                <w:b w:val="0"/>
                <w:i w:val="0"/>
                <w:color w:val="1C1F26"/>
                <w:sz w:val="18"/>
                <w:rFonts w:ascii="Palatino Linotype" w:hAnsi="Palatino Linotype" w:cs="Palatino Linotype"/>
              </w:rPr>
              <w:t>Tablas de derivación curricular</w:t>
            </w:r>
          </w:p>
        </w:tc>
        <w:tc>
          <w:tcPr>
            <w:tcW w:type="dxa" w:w="6803"/>
          </w:tcPr>
          <w:p>
            <w:pPr>
              <w:spacing w:before="60" w:after="60"/>
            </w:pPr>
            <w:r>
              <w:rPr>
                <w:b w:val="0"/>
                <w:i w:val="0"/>
                <w:color w:val="1C1F26"/>
                <w:sz w:val="18"/>
                <w:rFonts w:ascii="Palatino Linotype" w:hAnsi="Palatino Linotype" w:cs="Palatino Linotype"/>
              </w:rPr>
              <w:t>La matriz de qué tarea sostiene el currículo en qué curso (46 celdas justificadas una a una) y el techo de progresión por curso y eje.</w:t>
            </w:r>
          </w:p>
        </w:tc>
      </w:tr>
      <w:tr>
        <w:tc>
          <w:tcPr>
            <w:tcW w:type="dxa" w:w="2608"/>
          </w:tcPr>
          <w:p>
            <w:pPr>
              <w:spacing w:before="60" w:after="60"/>
            </w:pPr>
            <w:r>
              <w:rPr>
                <w:b w:val="0"/>
                <w:i w:val="0"/>
                <w:color w:val="1C1F26"/>
                <w:sz w:val="18"/>
                <w:rFonts w:ascii="Palatino Linotype" w:hAnsi="Palatino Linotype" w:cs="Palatino Linotype"/>
              </w:rPr>
              <w:t>Banco cerrado de verbos</w:t>
            </w:r>
          </w:p>
        </w:tc>
        <w:tc>
          <w:tcPr>
            <w:tcW w:type="dxa" w:w="6803"/>
          </w:tcPr>
          <w:p>
            <w:pPr>
              <w:spacing w:before="60" w:after="60"/>
            </w:pPr>
            <w:r>
              <w:rPr>
                <w:b w:val="0"/>
                <w:i w:val="0"/>
                <w:color w:val="1C1F26"/>
                <w:sz w:val="18"/>
                <w:rFonts w:ascii="Palatino Linotype" w:hAnsi="Palatino Linotype" w:cs="Palatino Linotype"/>
              </w:rPr>
              <w:t>80 verbos observables con su tercera y su primera persona, que hacen posible la derivación exacta de la autoevaluación.</w:t>
            </w:r>
          </w:p>
        </w:tc>
      </w:tr>
      <w:tr>
        <w:tc>
          <w:tcPr>
            <w:tcW w:type="dxa" w:w="2608"/>
          </w:tcPr>
          <w:p>
            <w:pPr>
              <w:spacing w:before="60" w:after="60"/>
            </w:pPr>
            <w:r>
              <w:rPr>
                <w:b w:val="0"/>
                <w:i w:val="0"/>
                <w:color w:val="1C1F26"/>
                <w:sz w:val="18"/>
                <w:rFonts w:ascii="Palatino Linotype" w:hAnsi="Palatino Linotype" w:cs="Palatino Linotype"/>
              </w:rPr>
              <w:t>Léxico de reglas de calidad</w:t>
            </w:r>
          </w:p>
        </w:tc>
        <w:tc>
          <w:tcPr>
            <w:tcW w:type="dxa" w:w="6803"/>
          </w:tcPr>
          <w:p>
            <w:pPr>
              <w:spacing w:before="60" w:after="60"/>
            </w:pPr>
            <w:r>
              <w:rPr>
                <w:b w:val="0"/>
                <w:i w:val="0"/>
                <w:color w:val="1C1F26"/>
                <w:sz w:val="18"/>
                <w:rFonts w:ascii="Palatino Linotype" w:hAnsi="Palatino Linotype" w:cs="Palatino Linotype"/>
              </w:rPr>
              <w:t>Calificadores vagos, negaciones, modalizadores de ayuda y de autonomía, reconocedor de recuentos y umbrales, separado por materia.</w:t>
            </w:r>
          </w:p>
        </w:tc>
      </w:tr>
      <w:tr>
        <w:tc>
          <w:tcPr>
            <w:tcW w:type="dxa" w:w="2608"/>
          </w:tcPr>
          <w:p>
            <w:pPr>
              <w:spacing w:before="60" w:after="60"/>
            </w:pPr>
            <w:r>
              <w:rPr>
                <w:b w:val="0"/>
                <w:i w:val="0"/>
                <w:color w:val="1C1F26"/>
                <w:sz w:val="18"/>
                <w:rFonts w:ascii="Palatino Linotype" w:hAnsi="Palatino Linotype" w:cs="Palatino Linotype"/>
              </w:rPr>
              <w:t>Catálogo de microexplicaciones</w:t>
            </w:r>
          </w:p>
        </w:tc>
        <w:tc>
          <w:tcPr>
            <w:tcW w:type="dxa" w:w="6803"/>
          </w:tcPr>
          <w:p>
            <w:pPr>
              <w:spacing w:before="60" w:after="60"/>
            </w:pPr>
            <w:r>
              <w:rPr>
                <w:b w:val="0"/>
                <w:i w:val="0"/>
                <w:color w:val="1C1F26"/>
                <w:sz w:val="18"/>
                <w:rFonts w:ascii="Palatino Linotype" w:hAnsi="Palatino Linotype" w:cs="Palatino Linotype"/>
              </w:rPr>
              <w:t>veinticinco textos explicativos propios que enseñan al profesorado por qué existe cada decisión de diseño, situados en el control al que afectan.</w:t>
            </w:r>
          </w:p>
        </w:tc>
      </w:tr>
      <w:tr>
        <w:tc>
          <w:tcPr>
            <w:tcW w:type="dxa" w:w="2608"/>
          </w:tcPr>
          <w:p>
            <w:pPr>
              <w:spacing w:before="60" w:after="60"/>
            </w:pPr>
            <w:r>
              <w:rPr>
                <w:b w:val="0"/>
                <w:i w:val="0"/>
                <w:color w:val="1C1F26"/>
                <w:sz w:val="18"/>
                <w:rFonts w:ascii="Palatino Linotype" w:hAnsi="Palatino Linotype" w:cs="Palatino Linotype"/>
              </w:rPr>
              <w:t>Documento de diseño y registro de motivos</w:t>
            </w:r>
          </w:p>
        </w:tc>
        <w:tc>
          <w:tcPr>
            <w:tcW w:type="dxa" w:w="6803"/>
          </w:tcPr>
          <w:p>
            <w:pPr>
              <w:spacing w:before="60" w:after="60"/>
            </w:pPr>
            <w:r>
              <w:rPr>
                <w:b w:val="0"/>
                <w:i w:val="0"/>
                <w:color w:val="1C1F26"/>
                <w:sz w:val="18"/>
                <w:rFonts w:ascii="Palatino Linotype" w:hAnsi="Palatino Linotype" w:cs="Palatino Linotype"/>
              </w:rPr>
              <w:t>La especificación completa del modelo de datos, del modelo de calificación, del catálogo de instrumentos y de las reglas del validador, con el registro razonado de cada decisión y de las formulaciones equivocadas que se descartaron.</w:t>
            </w:r>
          </w:p>
        </w:tc>
      </w:tr>
      <w:tr>
        <w:tc>
          <w:tcPr>
            <w:tcW w:type="dxa" w:w="2608"/>
          </w:tcPr>
          <w:p>
            <w:pPr>
              <w:spacing w:before="60" w:after="60"/>
            </w:pPr>
            <w:r>
              <w:rPr>
                <w:b w:val="0"/>
                <w:i w:val="0"/>
                <w:color w:val="1C1F26"/>
                <w:sz w:val="18"/>
                <w:rFonts w:ascii="Palatino Linotype" w:hAnsi="Palatino Linotype" w:cs="Palatino Linotype"/>
              </w:rPr>
              <w:t>Documentos de revisión docente</w:t>
            </w:r>
          </w:p>
        </w:tc>
        <w:tc>
          <w:tcPr>
            <w:tcW w:type="dxa" w:w="6803"/>
          </w:tcPr>
          <w:p>
            <w:pPr>
              <w:spacing w:before="60" w:after="60"/>
            </w:pPr>
            <w:r>
              <w:rPr>
                <w:b w:val="0"/>
                <w:i w:val="0"/>
                <w:color w:val="1C1F26"/>
                <w:sz w:val="18"/>
                <w:rFonts w:ascii="Palatino Linotype" w:hAnsi="Palatino Linotype" w:cs="Palatino Linotype"/>
              </w:rPr>
              <w:t>Un documento por tipo de tarea, generado desde el contenido, para que otro profesor pueda revisar la derivación sin abrir un archivo de datos.</w:t>
            </w:r>
          </w:p>
        </w:tc>
      </w:tr>
      <w:tr>
        <w:tc>
          <w:tcPr>
            <w:tcW w:type="dxa" w:w="2608"/>
          </w:tcPr>
          <w:p>
            <w:pPr>
              <w:spacing w:before="60" w:after="60"/>
            </w:pPr>
            <w:r>
              <w:rPr>
                <w:b w:val="0"/>
                <w:i w:val="0"/>
                <w:color w:val="1C1F26"/>
                <w:sz w:val="18"/>
                <w:rFonts w:ascii="Palatino Linotype" w:hAnsi="Palatino Linotype" w:cs="Palatino Linotype"/>
              </w:rPr>
              <w:t>Guía del profesorado</w:t>
            </w:r>
          </w:p>
        </w:tc>
        <w:tc>
          <w:tcPr>
            <w:tcW w:type="dxa" w:w="6803"/>
          </w:tcPr>
          <w:p>
            <w:pPr>
              <w:spacing w:before="60" w:after="60"/>
            </w:pPr>
            <w:r>
              <w:rPr>
                <w:b w:val="0"/>
                <w:i w:val="0"/>
                <w:color w:val="1C1F26"/>
                <w:sz w:val="18"/>
                <w:rFonts w:ascii="Palatino Linotype" w:hAnsi="Palatino Linotype" w:cs="Palatino Linotype"/>
              </w:rPr>
              <w:t>Manual de uso en formato Word, generado desde el propio contenido para que sus cifras no puedan separarse de la obra que describen.</w:t>
            </w:r>
          </w:p>
        </w:tc>
      </w:tr>
      <w:tr>
        <w:tc>
          <w:tcPr>
            <w:tcW w:type="dxa" w:w="2608"/>
          </w:tcPr>
          <w:p>
            <w:pPr>
              <w:spacing w:before="60" w:after="60"/>
            </w:pPr>
            <w:r>
              <w:rPr>
                <w:b w:val="0"/>
                <w:i w:val="0"/>
                <w:color w:val="1C1F26"/>
                <w:sz w:val="18"/>
                <w:rFonts w:ascii="Palatino Linotype" w:hAnsi="Palatino Linotype" w:cs="Palatino Linotype"/>
              </w:rPr>
              <w:t>Protocolo de corrección asistida</w:t>
            </w:r>
          </w:p>
        </w:tc>
        <w:tc>
          <w:tcPr>
            <w:tcW w:type="dxa" w:w="6803"/>
          </w:tcPr>
          <w:p>
            <w:pPr>
              <w:spacing w:before="60" w:after="60"/>
            </w:pPr>
            <w:r>
              <w:rPr>
                <w:b w:val="0"/>
                <w:i w:val="0"/>
                <w:color w:val="1C1F26"/>
                <w:sz w:val="18"/>
                <w:rFonts w:ascii="Palatino Linotype" w:hAnsi="Palatino Linotype" w:cs="Palatino Linotype"/>
              </w:rPr>
              <w:t>Las cinco reglas que acompañan siempre al texto del modo asistido: protección de datos del menor, calibración previa, evidencia citada obligatoria, firma del profesor y transparencia con el alumnado.</w:t>
            </w:r>
          </w:p>
        </w:tc>
      </w:tr>
    </w:tbl>
    <w:p>
      <w:pPr>
        <w:spacing w:after="0"/>
      </w:pPr>
    </w:p>
    <w:p>
      <w:pPr>
        <w:keepNext/>
        <w:spacing w:before="260" w:after="60"/>
      </w:pPr>
      <w:r>
        <w:rPr>
          <w:b/>
          <w:i w:val="0"/>
          <w:color w:val="1C1F26"/>
          <w:sz w:val="23"/>
          <w:rFonts w:ascii="Palatino Linotype" w:hAnsi="Palatino Linotype" w:cs="Palatino Linotype"/>
        </w:rPr>
        <w:t>7.3 Materiales de terceros excluidos de la inscripción</w:t>
      </w:r>
    </w:p>
    <w:p>
      <w:pPr>
        <w:jc w:val="both"/>
      </w:pPr>
      <w:r>
        <w:rPr>
          <w:b w:val="0"/>
          <w:i w:val="0"/>
          <w:color w:val="1C1F26"/>
          <w:sz w:val="21"/>
          <w:rFonts w:ascii="Palatino Linotype" w:hAnsi="Palatino Linotype" w:cs="Palatino Linotype"/>
        </w:rPr>
        <w:t xml:space="preserve">Las citas literales de los criterios de evaluación proceden del currículo oficial publicado por la Región de Murcia y del Boletín Oficial correspondiente. Se utilizan como cita normativa —uso expresamente amparado— y </w:t>
      </w:r>
      <w:r>
        <w:rPr>
          <w:b/>
          <w:i w:val="0"/>
          <w:color w:val="1C1F26"/>
          <w:sz w:val="21"/>
          <w:rFonts w:ascii="Palatino Linotype" w:hAnsi="Palatino Linotype" w:cs="Palatino Linotype"/>
        </w:rPr>
        <w:t>no son objeto de la presente inscripción</w:t>
      </w:r>
      <w:r>
        <w:rPr>
          <w:b w:val="0"/>
          <w:i w:val="0"/>
          <w:color w:val="1C1F26"/>
          <w:sz w:val="21"/>
          <w:rFonts w:ascii="Palatino Linotype" w:hAnsi="Palatino Linotype" w:cs="Palatino Linotype"/>
        </w:rPr>
        <w:t>: los textos legales carecen de protección por derecho de autor y el repositorio los conserva íntegros y sin alterar, en su carpeta de fuentes, precisamente para que la derivación pueda comprobarse contra ellos. Lo mismo vale para el documento de estructura y criterios de la prueba de acceso a la universidad, incorporado solo como material de contraste.</w:t>
      </w:r>
    </w:p>
    <w:p>
      <w:pPr>
        <w:jc w:val="both"/>
      </w:pPr>
      <w:r>
        <w:rPr>
          <w:b w:val="0"/>
          <w:i w:val="0"/>
          <w:color w:val="1C1F26"/>
          <w:sz w:val="21"/>
          <w:rFonts w:ascii="Palatino Linotype" w:hAnsi="Palatino Linotype" w:cs="Palatino Linotype"/>
        </w:rPr>
        <w:t>La inscripción se refiere exclusivamente a las creaciones propias del autor: el programa, su arquitectura, las estructuras de datos y los contenidos didácticos relacionados en el apartado 7.2. Se hace constar, a los efectos que el Registro estime oportunos, que algunos de esos materiales —la biblioteca de criterios derivados, las matrices de corrección o la guía del profesorado— podrían además ser objeto de inscripción como obras independientes de naturaleza literaria o educativa, con independencia del programa de ordenador.</w:t>
      </w:r>
    </w:p>
    <w:p>
      <w:r>
        <w:br w:type="page"/>
      </w:r>
    </w:p>
    <w:p>
      <w:pPr>
        <w:keepNext/>
        <w:spacing w:before="440" w:after="120"/>
      </w:pPr>
      <w:r>
        <w:rPr>
          <w:b/>
          <w:i w:val="0"/>
          <w:color w:val="7A3B2E"/>
          <w:sz w:val="30"/>
          <w:rFonts w:ascii="Palatino Linotype" w:hAnsi="Palatino Linotype" w:cs="Palatino Linotype"/>
        </w:rPr>
        <w:t>8. COMPONENTES INCLUIDOS EN LA INSCRIPCIÓN</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4706"/>
        <w:gridCol w:w="4706"/>
      </w:tblGrid>
      <w:tr>
        <w:tc>
          <w:tcPr>
            <w:tcW w:type="dxa" w:w="2608"/>
            <w:shd w:val="clear" w:fill="F4F2EE"/>
          </w:tcPr>
          <w:p>
            <w:pPr>
              <w:spacing w:before="60" w:after="60"/>
            </w:pPr>
            <w:r>
              <w:rPr>
                <w:b/>
                <w:i w:val="0"/>
                <w:color w:val="1C1F26"/>
                <w:sz w:val="18"/>
                <w:rFonts w:ascii="Palatino Linotype" w:hAnsi="Palatino Linotype" w:cs="Palatino Linotype"/>
              </w:rPr>
              <w:t>Componente</w:t>
            </w:r>
          </w:p>
        </w:tc>
        <w:tc>
          <w:tcPr>
            <w:tcW w:type="dxa" w:w="6803"/>
            <w:shd w:val="clear" w:fill="F4F2EE"/>
          </w:tcPr>
          <w:p>
            <w:pPr>
              <w:spacing w:before="60" w:after="60"/>
            </w:pPr>
            <w:r>
              <w:rPr>
                <w:b/>
                <w:i w:val="0"/>
                <w:color w:val="1C1F26"/>
                <w:sz w:val="18"/>
                <w:rFonts w:ascii="Palatino Linotype" w:hAnsi="Palatino Linotype" w:cs="Palatino Linotype"/>
              </w:rPr>
              <w:t>Descripción y extensión</w:t>
            </w:r>
          </w:p>
        </w:tc>
      </w:tr>
      <w:tr>
        <w:tc>
          <w:tcPr>
            <w:tcW w:type="dxa" w:w="2608"/>
          </w:tcPr>
          <w:p>
            <w:pPr>
              <w:spacing w:before="60" w:after="60"/>
            </w:pPr>
            <w:r>
              <w:rPr>
                <w:b w:val="0"/>
                <w:i w:val="0"/>
                <w:color w:val="1C1F26"/>
                <w:sz w:val="18"/>
                <w:rFonts w:ascii="Palatino Linotype" w:hAnsi="Palatino Linotype" w:cs="Palatino Linotype"/>
              </w:rPr>
              <w:t>Código fuente de la aplicación</w:t>
            </w:r>
          </w:p>
        </w:tc>
        <w:tc>
          <w:tcPr>
            <w:tcW w:type="dxa" w:w="6803"/>
          </w:tcPr>
          <w:p>
            <w:pPr>
              <w:spacing w:before="60" w:after="60"/>
            </w:pPr>
            <w:r>
              <w:rPr>
                <w:b w:val="0"/>
                <w:i w:val="0"/>
                <w:color w:val="1C1F26"/>
                <w:sz w:val="18"/>
                <w:rFonts w:ascii="Palatino Linotype" w:hAnsi="Palatino Linotype" w:cs="Palatino Linotype"/>
              </w:rPr>
              <w:t>4.153 líneas de JavaScript en módulos ES nativos, más 226 de HTML e instalación y 1.152 de estilos de pantalla e impresión.</w:t>
            </w:r>
          </w:p>
        </w:tc>
      </w:tr>
      <w:tr>
        <w:tc>
          <w:tcPr>
            <w:tcW w:type="dxa" w:w="2608"/>
          </w:tcPr>
          <w:p>
            <w:pPr>
              <w:spacing w:before="60" w:after="60"/>
            </w:pPr>
            <w:r>
              <w:rPr>
                <w:b w:val="0"/>
                <w:i w:val="0"/>
                <w:color w:val="1C1F26"/>
                <w:sz w:val="18"/>
                <w:rFonts w:ascii="Palatino Linotype" w:hAnsi="Palatino Linotype" w:cs="Palatino Linotype"/>
              </w:rPr>
              <w:t>Herramientas de construcción y comprobación</w:t>
            </w:r>
          </w:p>
        </w:tc>
        <w:tc>
          <w:tcPr>
            <w:tcW w:type="dxa" w:w="6803"/>
          </w:tcPr>
          <w:p>
            <w:pPr>
              <w:spacing w:before="60" w:after="60"/>
            </w:pPr>
            <w:r>
              <w:rPr>
                <w:b w:val="0"/>
                <w:i w:val="0"/>
                <w:color w:val="1C1F26"/>
                <w:sz w:val="18"/>
                <w:rFonts w:ascii="Palatino Linotype" w:hAnsi="Palatino Linotype" w:cs="Palatino Linotype"/>
              </w:rPr>
              <w:t>6.465 líneas de Python: validadores, generadores de derivados, verificador de derivación normativa, simulador de corrección y lector de contexto.</w:t>
            </w:r>
          </w:p>
        </w:tc>
      </w:tr>
      <w:tr>
        <w:tc>
          <w:tcPr>
            <w:tcW w:type="dxa" w:w="2608"/>
          </w:tcPr>
          <w:p>
            <w:pPr>
              <w:spacing w:before="60" w:after="60"/>
            </w:pPr>
            <w:r>
              <w:rPr>
                <w:b w:val="0"/>
                <w:i w:val="0"/>
                <w:color w:val="1C1F26"/>
                <w:sz w:val="18"/>
                <w:rFonts w:ascii="Palatino Linotype" w:hAnsi="Palatino Linotype" w:cs="Palatino Linotype"/>
              </w:rPr>
              <w:t>Baterías de prueba</w:t>
            </w:r>
          </w:p>
        </w:tc>
        <w:tc>
          <w:tcPr>
            <w:tcW w:type="dxa" w:w="6803"/>
          </w:tcPr>
          <w:p>
            <w:pPr>
              <w:spacing w:before="60" w:after="60"/>
            </w:pPr>
            <w:r>
              <w:rPr>
                <w:b w:val="0"/>
                <w:i w:val="0"/>
                <w:color w:val="1C1F26"/>
                <w:sz w:val="18"/>
                <w:rFonts w:ascii="Palatino Linotype" w:hAnsi="Palatino Linotype" w:cs="Palatino Linotype"/>
              </w:rPr>
              <w:t>2.067 líneas de casos dorados en Node, sin dependencias: validador regla a regla, premarcado y puertas, proyección a primera persona y modelo de calificación.</w:t>
            </w:r>
          </w:p>
        </w:tc>
      </w:tr>
      <w:tr>
        <w:tc>
          <w:tcPr>
            <w:tcW w:type="dxa" w:w="2608"/>
          </w:tcPr>
          <w:p>
            <w:pPr>
              <w:spacing w:before="60" w:after="60"/>
            </w:pPr>
            <w:r>
              <w:rPr>
                <w:b w:val="0"/>
                <w:i w:val="0"/>
                <w:color w:val="1C1F26"/>
                <w:sz w:val="18"/>
                <w:rFonts w:ascii="Palatino Linotype" w:hAnsi="Palatino Linotype" w:cs="Palatino Linotype"/>
              </w:rPr>
              <w:t>Contenido curricular estructurado</w:t>
            </w:r>
          </w:p>
        </w:tc>
        <w:tc>
          <w:tcPr>
            <w:tcW w:type="dxa" w:w="6803"/>
          </w:tcPr>
          <w:p>
            <w:pPr>
              <w:spacing w:before="60" w:after="60"/>
            </w:pPr>
            <w:r>
              <w:rPr>
                <w:b w:val="0"/>
                <w:i w:val="0"/>
                <w:color w:val="1C1F26"/>
                <w:sz w:val="18"/>
                <w:rFonts w:ascii="Palatino Linotype" w:hAnsi="Palatino Linotype" w:cs="Palatino Linotype"/>
              </w:rPr>
              <w:t>32.386 líneas de JSON: diez packs de criterios, catálogo, tablas de derivación, léxico de reglas, banco de verbos y esquema.</w:t>
            </w:r>
          </w:p>
        </w:tc>
      </w:tr>
      <w:tr>
        <w:tc>
          <w:tcPr>
            <w:tcW w:type="dxa" w:w="2608"/>
          </w:tcPr>
          <w:p>
            <w:pPr>
              <w:spacing w:before="60" w:after="60"/>
            </w:pPr>
            <w:r>
              <w:rPr>
                <w:b w:val="0"/>
                <w:i w:val="0"/>
                <w:color w:val="1C1F26"/>
                <w:sz w:val="18"/>
                <w:rFonts w:ascii="Palatino Linotype" w:hAnsi="Palatino Linotype" w:cs="Palatino Linotype"/>
              </w:rPr>
              <w:t>Documentación de diseño</w:t>
            </w:r>
          </w:p>
        </w:tc>
        <w:tc>
          <w:tcPr>
            <w:tcW w:type="dxa" w:w="6803"/>
          </w:tcPr>
          <w:p>
            <w:pPr>
              <w:spacing w:before="60" w:after="60"/>
            </w:pPr>
            <w:r>
              <w:rPr>
                <w:b w:val="0"/>
                <w:i w:val="0"/>
                <w:color w:val="1C1F26"/>
                <w:sz w:val="18"/>
                <w:rFonts w:ascii="Palatino Linotype" w:hAnsi="Palatino Linotype" w:cs="Palatino Linotype"/>
              </w:rPr>
              <w:t>3.480 líneas: documento de diseño de software, registro razonado de cambios, motivos de cada regla, guía para añadir una materia y análisis de enlace con los proyectos afines del autor.</w:t>
            </w:r>
          </w:p>
        </w:tc>
      </w:tr>
      <w:tr>
        <w:tc>
          <w:tcPr>
            <w:tcW w:type="dxa" w:w="2608"/>
          </w:tcPr>
          <w:p>
            <w:pPr>
              <w:spacing w:before="60" w:after="60"/>
            </w:pPr>
            <w:r>
              <w:rPr>
                <w:b w:val="0"/>
                <w:i w:val="0"/>
                <w:color w:val="1C1F26"/>
                <w:sz w:val="18"/>
                <w:rFonts w:ascii="Palatino Linotype" w:hAnsi="Palatino Linotype" w:cs="Palatino Linotype"/>
              </w:rPr>
              <w:t>Materiales para el profesorado</w:t>
            </w:r>
          </w:p>
        </w:tc>
        <w:tc>
          <w:tcPr>
            <w:tcW w:type="dxa" w:w="6803"/>
          </w:tcPr>
          <w:p>
            <w:pPr>
              <w:spacing w:before="60" w:after="60"/>
            </w:pPr>
            <w:r>
              <w:rPr>
                <w:b w:val="0"/>
                <w:i w:val="0"/>
                <w:color w:val="1C1F26"/>
                <w:sz w:val="18"/>
                <w:rFonts w:ascii="Palatino Linotype" w:hAnsi="Palatino Linotype" w:cs="Palatino Linotype"/>
              </w:rPr>
              <w:t>Guía de uso y documentos de revisión por tipo de tarea, todos generados desde el contenido.</w:t>
            </w:r>
          </w:p>
        </w:tc>
      </w:tr>
      <w:tr>
        <w:tc>
          <w:tcPr>
            <w:tcW w:type="dxa" w:w="2608"/>
          </w:tcPr>
          <w:p>
            <w:pPr>
              <w:spacing w:before="60" w:after="60"/>
            </w:pPr>
            <w:r>
              <w:rPr>
                <w:b w:val="0"/>
                <w:i w:val="0"/>
                <w:color w:val="1C1F26"/>
                <w:sz w:val="18"/>
                <w:rFonts w:ascii="Palatino Linotype" w:hAnsi="Palatino Linotype" w:cs="Palatino Linotype"/>
              </w:rPr>
              <w:t>Identidad visual e instalación</w:t>
            </w:r>
          </w:p>
        </w:tc>
        <w:tc>
          <w:tcPr>
            <w:tcW w:type="dxa" w:w="6803"/>
          </w:tcPr>
          <w:p>
            <w:pPr>
              <w:spacing w:before="60" w:after="60"/>
            </w:pPr>
            <w:r>
              <w:rPr>
                <w:b w:val="0"/>
                <w:i w:val="0"/>
                <w:color w:val="1C1F26"/>
                <w:sz w:val="18"/>
                <w:rFonts w:ascii="Palatino Linotype" w:hAnsi="Palatino Linotype" w:cs="Palatino Linotype"/>
              </w:rPr>
              <w:t>Sistema de estilos editorial propio, hoja de impresión para A4, manifiesto de instalación y juego completo de iconos generados por el repositorio.</w:t>
            </w:r>
          </w:p>
        </w:tc>
      </w:tr>
    </w:tbl>
    <w:p>
      <w:pPr>
        <w:spacing w:after="0"/>
      </w:pPr>
    </w:p>
    <w:p>
      <w:pPr>
        <w:keepNext/>
        <w:spacing w:before="260" w:after="60"/>
      </w:pPr>
      <w:r>
        <w:rPr>
          <w:b/>
          <w:i w:val="0"/>
          <w:color w:val="1C1F26"/>
          <w:sz w:val="23"/>
          <w:rFonts w:ascii="Palatino Linotype" w:hAnsi="Palatino Linotype" w:cs="Palatino Linotype"/>
        </w:rPr>
        <w:t>8.1 Historial de versiones</w:t>
      </w:r>
    </w:p>
    <w:p>
      <w:pPr>
        <w:jc w:val="both"/>
      </w:pPr>
      <w:r>
        <w:rPr>
          <w:b w:val="0"/>
          <w:i w:val="0"/>
          <w:color w:val="1C1F26"/>
          <w:sz w:val="21"/>
          <w:rFonts w:ascii="Palatino Linotype" w:hAnsi="Palatino Linotype" w:cs="Palatino Linotype"/>
        </w:rPr>
        <w:t>A efectos probatorios de antigüedad se deja constancia del histórico de desarrollo, registrado en el sistema de control de versiones del repositorio y en el registro de cambios del documento de diseño:</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3137"/>
        <w:gridCol w:w="3137"/>
        <w:gridCol w:w="3137"/>
      </w:tblGrid>
      <w:tr>
        <w:tc>
          <w:tcPr>
            <w:tcW w:type="dxa" w:w="1361"/>
            <w:shd w:val="clear" w:fill="F4F2EE"/>
          </w:tcPr>
          <w:p>
            <w:pPr>
              <w:spacing w:before="60" w:after="60"/>
            </w:pPr>
            <w:r>
              <w:rPr>
                <w:b/>
                <w:i w:val="0"/>
                <w:color w:val="1C1F26"/>
                <w:sz w:val="18"/>
                <w:rFonts w:ascii="Palatino Linotype" w:hAnsi="Palatino Linotype" w:cs="Palatino Linotype"/>
              </w:rPr>
              <w:t>Versión</w:t>
            </w:r>
          </w:p>
        </w:tc>
        <w:tc>
          <w:tcPr>
            <w:tcW w:type="dxa" w:w="1587"/>
            <w:shd w:val="clear" w:fill="F4F2EE"/>
          </w:tcPr>
          <w:p>
            <w:pPr>
              <w:spacing w:before="60" w:after="60"/>
            </w:pPr>
            <w:r>
              <w:rPr>
                <w:b/>
                <w:i w:val="0"/>
                <w:color w:val="1C1F26"/>
                <w:sz w:val="18"/>
                <w:rFonts w:ascii="Palatino Linotype" w:hAnsi="Palatino Linotype" w:cs="Palatino Linotype"/>
              </w:rPr>
              <w:t>Fecha</w:t>
            </w:r>
          </w:p>
        </w:tc>
        <w:tc>
          <w:tcPr>
            <w:tcW w:type="dxa" w:w="6463"/>
            <w:shd w:val="clear" w:fill="F4F2EE"/>
          </w:tcPr>
          <w:p>
            <w:pPr>
              <w:spacing w:before="60" w:after="60"/>
            </w:pPr>
            <w:r>
              <w:rPr>
                <w:b/>
                <w:i w:val="0"/>
                <w:color w:val="1C1F26"/>
                <w:sz w:val="18"/>
                <w:rFonts w:ascii="Palatino Linotype" w:hAnsi="Palatino Linotype" w:cs="Palatino Linotype"/>
              </w:rPr>
              <w:t>Hito principal</w:t>
            </w:r>
          </w:p>
        </w:tc>
      </w:tr>
      <w:tr>
        <w:tc>
          <w:tcPr>
            <w:tcW w:type="dxa" w:w="1361"/>
          </w:tcPr>
          <w:p>
            <w:pPr>
              <w:spacing w:before="60" w:after="60"/>
            </w:pPr>
            <w:r>
              <w:rPr>
                <w:b w:val="0"/>
                <w:i w:val="0"/>
                <w:color w:val="1C1F26"/>
                <w:sz w:val="18"/>
                <w:rFonts w:ascii="Palatino Linotype" w:hAnsi="Palatino Linotype" w:cs="Palatino Linotype"/>
              </w:rPr>
              <w:t>0.9 – 1.0</w:t>
            </w:r>
          </w:p>
        </w:tc>
        <w:tc>
          <w:tcPr>
            <w:tcW w:type="dxa" w:w="1587"/>
          </w:tcPr>
          <w:p>
            <w:pPr>
              <w:spacing w:before="60" w:after="60"/>
            </w:pPr>
            <w:r>
              <w:rPr>
                <w:b w:val="0"/>
                <w:i w:val="0"/>
                <w:color w:val="1C1F26"/>
                <w:sz w:val="18"/>
                <w:rFonts w:ascii="Palatino Linotype" w:hAnsi="Palatino Linotype" w:cs="Palatino Linotype"/>
              </w:rPr>
              <w:t>28-29 julio 2026</w:t>
            </w:r>
          </w:p>
        </w:tc>
        <w:tc>
          <w:tcPr>
            <w:tcW w:type="dxa" w:w="6463"/>
          </w:tcPr>
          <w:p>
            <w:pPr>
              <w:spacing w:before="60" w:after="60"/>
            </w:pPr>
            <w:r>
              <w:rPr>
                <w:b w:val="0"/>
                <w:i w:val="0"/>
                <w:color w:val="1C1F26"/>
                <w:sz w:val="18"/>
                <w:rFonts w:ascii="Palatino Linotype" w:hAnsi="Palatino Linotype" w:cs="Palatino Linotype"/>
              </w:rPr>
              <w:t>Prototipo funcional: motor de generación, modo exprés, rúbrica analítica, lista de cotejo, hoja del alumno e impresión. El validador queda completo dentro de la aplicación, con su microexplicación por regla.</w:t>
            </w:r>
          </w:p>
        </w:tc>
      </w:tr>
      <w:tr>
        <w:tc>
          <w:tcPr>
            <w:tcW w:type="dxa" w:w="1361"/>
          </w:tcPr>
          <w:p>
            <w:pPr>
              <w:spacing w:before="60" w:after="60"/>
            </w:pPr>
            <w:r>
              <w:rPr>
                <w:b w:val="0"/>
                <w:i w:val="0"/>
                <w:color w:val="1C1F26"/>
                <w:sz w:val="18"/>
                <w:rFonts w:ascii="Palatino Linotype" w:hAnsi="Palatino Linotype" w:cs="Palatino Linotype"/>
              </w:rPr>
              <w:t>1.1 – 1.9</w:t>
            </w:r>
          </w:p>
        </w:tc>
        <w:tc>
          <w:tcPr>
            <w:tcW w:type="dxa" w:w="1587"/>
          </w:tcPr>
          <w:p>
            <w:pPr>
              <w:spacing w:before="60" w:after="60"/>
            </w:pPr>
            <w:r>
              <w:rPr>
                <w:b w:val="0"/>
                <w:i w:val="0"/>
                <w:color w:val="1C1F26"/>
                <w:sz w:val="18"/>
                <w:rFonts w:ascii="Palatino Linotype" w:hAnsi="Palatino Linotype" w:cs="Palatino Linotype"/>
              </w:rPr>
              <w:t>29 julio – 4 agosto 2026</w:t>
            </w:r>
          </w:p>
        </w:tc>
        <w:tc>
          <w:tcPr>
            <w:tcW w:type="dxa" w:w="6463"/>
          </w:tcPr>
          <w:p>
            <w:pPr>
              <w:spacing w:before="60" w:after="60"/>
            </w:pPr>
            <w:r>
              <w:rPr>
                <w:b w:val="0"/>
                <w:i w:val="0"/>
                <w:color w:val="1C1F26"/>
                <w:sz w:val="18"/>
                <w:rFonts w:ascii="Palatino Linotype" w:hAnsi="Palatino Linotype" w:cs="Palatino Linotype"/>
              </w:rPr>
              <w:t>Repositorio con validación automática en cada envío. Reglas exactas del modo numérico. Persistencia del resultado por alumno. Rediseño visual editorial. Autoevaluación y coevaluación por proyección a primera persona. Rúbrica de un solo punto y escala de estimación analítica: el catálogo de instrumentos queda cerrado.</w:t>
            </w:r>
          </w:p>
        </w:tc>
      </w:tr>
      <w:tr>
        <w:tc>
          <w:tcPr>
            <w:tcW w:type="dxa" w:w="1361"/>
          </w:tcPr>
          <w:p>
            <w:pPr>
              <w:spacing w:before="60" w:after="60"/>
            </w:pPr>
            <w:r>
              <w:rPr>
                <w:b w:val="0"/>
                <w:i w:val="0"/>
                <w:color w:val="1C1F26"/>
                <w:sz w:val="18"/>
                <w:rFonts w:ascii="Palatino Linotype" w:hAnsi="Palatino Linotype" w:cs="Palatino Linotype"/>
              </w:rPr>
              <w:t>1.10 – 1.20</w:t>
            </w:r>
          </w:p>
        </w:tc>
        <w:tc>
          <w:tcPr>
            <w:tcW w:type="dxa" w:w="1587"/>
          </w:tcPr>
          <w:p>
            <w:pPr>
              <w:spacing w:before="60" w:after="60"/>
            </w:pPr>
            <w:r>
              <w:rPr>
                <w:b w:val="0"/>
                <w:i w:val="0"/>
                <w:color w:val="1C1F26"/>
                <w:sz w:val="18"/>
                <w:rFonts w:ascii="Palatino Linotype" w:hAnsi="Palatino Linotype" w:cs="Palatino Linotype"/>
              </w:rPr>
              <w:t>5-7 agosto 2026</w:t>
            </w:r>
          </w:p>
        </w:tc>
        <w:tc>
          <w:tcPr>
            <w:tcW w:type="dxa" w:w="6463"/>
          </w:tcPr>
          <w:p>
            <w:pPr>
              <w:spacing w:before="60" w:after="60"/>
            </w:pPr>
            <w:r>
              <w:rPr>
                <w:b w:val="0"/>
                <w:i w:val="0"/>
                <w:color w:val="1C1F26"/>
                <w:sz w:val="18"/>
                <w:rFonts w:ascii="Palatino Linotype" w:hAnsi="Palatino Linotype" w:cs="Palatino Linotype"/>
              </w:rPr>
              <w:t>Packs de texto argumentativo, exposición oral y texto expositivo ampliados hasta Bachillerato. Quinta puerta de aplicabilidad, con premarcado de dimensiones de proceso. Verificación de citas contra el segmento de su propio curso. Pack de narración: la matriz de tarea × curso de la fase 2 queda completa.</w:t>
            </w:r>
          </w:p>
        </w:tc>
      </w:tr>
      <w:tr>
        <w:tc>
          <w:tcPr>
            <w:tcW w:type="dxa" w:w="1361"/>
          </w:tcPr>
          <w:p>
            <w:pPr>
              <w:spacing w:before="60" w:after="60"/>
            </w:pPr>
            <w:r>
              <w:rPr>
                <w:b w:val="0"/>
                <w:i w:val="0"/>
                <w:color w:val="1C1F26"/>
                <w:sz w:val="18"/>
                <w:rFonts w:ascii="Palatino Linotype" w:hAnsi="Palatino Linotype" w:cs="Palatino Linotype"/>
              </w:rPr>
              <w:t>1.21 – 1.24</w:t>
            </w:r>
          </w:p>
        </w:tc>
        <w:tc>
          <w:tcPr>
            <w:tcW w:type="dxa" w:w="1587"/>
          </w:tcPr>
          <w:p>
            <w:pPr>
              <w:spacing w:before="60" w:after="60"/>
            </w:pPr>
            <w:r>
              <w:rPr>
                <w:b w:val="0"/>
                <w:i w:val="0"/>
                <w:color w:val="1C1F26"/>
                <w:sz w:val="18"/>
                <w:rFonts w:ascii="Palatino Linotype" w:hAnsi="Palatino Linotype" w:cs="Palatino Linotype"/>
              </w:rPr>
              <w:t>agosto 2026</w:t>
            </w:r>
          </w:p>
        </w:tc>
        <w:tc>
          <w:tcPr>
            <w:tcW w:type="dxa" w:w="6463"/>
          </w:tcPr>
          <w:p>
            <w:pPr>
              <w:spacing w:before="60" w:after="60"/>
            </w:pPr>
            <w:r>
              <w:rPr>
                <w:b w:val="0"/>
                <w:i w:val="0"/>
                <w:color w:val="1C1F26"/>
                <w:sz w:val="18"/>
                <w:rFonts w:ascii="Palatino Linotype" w:hAnsi="Palatino Linotype" w:cs="Palatino Linotype"/>
              </w:rPr>
              <w:t>Las tablas curriculares se mudan a los datos, una por materia, y las del documento de diseño pasan a ser derivados comprobados. Barrido completo del posesivo y del dativo de tercera persona en todos los packs.</w:t>
            </w:r>
          </w:p>
        </w:tc>
      </w:tr>
      <w:tr>
        <w:tc>
          <w:tcPr>
            <w:tcW w:type="dxa" w:w="1361"/>
          </w:tcPr>
          <w:p>
            <w:pPr>
              <w:spacing w:before="60" w:after="60"/>
            </w:pPr>
            <w:r>
              <w:rPr>
                <w:b w:val="0"/>
                <w:i w:val="0"/>
                <w:color w:val="1C1F26"/>
                <w:sz w:val="18"/>
                <w:rFonts w:ascii="Palatino Linotype" w:hAnsi="Palatino Linotype" w:cs="Palatino Linotype"/>
              </w:rPr>
              <w:t>1.25 – 1.31</w:t>
            </w:r>
          </w:p>
        </w:tc>
        <w:tc>
          <w:tcPr>
            <w:tcW w:type="dxa" w:w="1587"/>
          </w:tcPr>
          <w:p>
            <w:pPr>
              <w:spacing w:before="60" w:after="60"/>
            </w:pPr>
            <w:r>
              <w:rPr>
                <w:b w:val="0"/>
                <w:i w:val="0"/>
                <w:color w:val="1C1F26"/>
                <w:sz w:val="18"/>
                <w:rFonts w:ascii="Palatino Linotype" w:hAnsi="Palatino Linotype" w:cs="Palatino Linotype"/>
              </w:rPr>
              <w:t>12-16 agosto 2026</w:t>
            </w:r>
          </w:p>
        </w:tc>
        <w:tc>
          <w:tcPr>
            <w:tcW w:type="dxa" w:w="6463"/>
          </w:tcPr>
          <w:p>
            <w:pPr>
              <w:spacing w:before="60" w:after="60"/>
            </w:pPr>
            <w:r>
              <w:rPr>
                <w:b w:val="0"/>
                <w:i w:val="0"/>
                <w:color w:val="1C1F26"/>
                <w:sz w:val="18"/>
                <w:rFonts w:ascii="Palatino Linotype" w:hAnsi="Palatino Linotype" w:cs="Palatino Linotype"/>
              </w:rPr>
              <w:t>Comentario de texto literario y resumen. Nombres de nivel unificados con el material de aula, razón de peso declarada y umbrales recalibrados por curso. Instalación como aplicación, publicación con dirección estable y adopción del nombre «Taller de Rúbricas».</w:t>
            </w:r>
          </w:p>
        </w:tc>
      </w:tr>
      <w:tr>
        <w:tc>
          <w:tcPr>
            <w:tcW w:type="dxa" w:w="1361"/>
          </w:tcPr>
          <w:p>
            <w:pPr>
              <w:spacing w:before="60" w:after="60"/>
            </w:pPr>
            <w:r>
              <w:rPr>
                <w:b w:val="0"/>
                <w:i w:val="0"/>
                <w:color w:val="1C1F26"/>
                <w:sz w:val="18"/>
                <w:rFonts w:ascii="Palatino Linotype" w:hAnsi="Palatino Linotype" w:cs="Palatino Linotype"/>
              </w:rPr>
              <w:t>1.32 – 1.35</w:t>
            </w:r>
          </w:p>
        </w:tc>
        <w:tc>
          <w:tcPr>
            <w:tcW w:type="dxa" w:w="1587"/>
          </w:tcPr>
          <w:p>
            <w:pPr>
              <w:spacing w:before="60" w:after="60"/>
            </w:pPr>
            <w:r>
              <w:rPr>
                <w:b w:val="0"/>
                <w:i w:val="0"/>
                <w:color w:val="1C1F26"/>
                <w:sz w:val="18"/>
                <w:rFonts w:ascii="Palatino Linotype" w:hAnsi="Palatino Linotype" w:cs="Palatino Linotype"/>
              </w:rPr>
              <w:t>18 agosto 2026</w:t>
            </w:r>
          </w:p>
        </w:tc>
        <w:tc>
          <w:tcPr>
            <w:tcW w:type="dxa" w:w="6463"/>
          </w:tcPr>
          <w:p>
            <w:pPr>
              <w:spacing w:before="60" w:after="60"/>
            </w:pPr>
            <w:r>
              <w:rPr>
                <w:b w:val="0"/>
                <w:i w:val="0"/>
                <w:color w:val="1C1F26"/>
                <w:sz w:val="18"/>
                <w:rFonts w:ascii="Palatino Linotype" w:hAnsi="Palatino Linotype" w:cs="Palatino Linotype"/>
              </w:rPr>
              <w:t xml:space="preserve">Reorganización del repositorio para el trabajo asistido: lector selectivo y documento de diseño dividido. Tres tipos de tarea nuevos —reacción a una noticia, redacción de una noticia y trabajo de investigación multimodal—, dados de alta </w:t>
            </w:r>
            <w:r>
              <w:rPr>
                <w:b/>
                <w:i w:val="0"/>
                <w:color w:val="1C1F26"/>
                <w:sz w:val="18"/>
                <w:rFonts w:ascii="Palatino Linotype" w:hAnsi="Palatino Linotype" w:cs="Palatino Linotype"/>
              </w:rPr>
              <w:t>sin tocar una línea de código</w:t>
            </w:r>
            <w:r>
              <w:rPr>
                <w:b w:val="0"/>
                <w:i w:val="0"/>
                <w:color w:val="1C1F26"/>
                <w:sz w:val="18"/>
                <w:rFonts w:ascii="Palatino Linotype" w:hAnsi="Palatino Linotype" w:cs="Palatino Linotype"/>
              </w:rPr>
              <w:t>. Regla de continuidad de bandas.</w:t>
            </w:r>
          </w:p>
        </w:tc>
      </w:tr>
      <w:tr>
        <w:tc>
          <w:tcPr>
            <w:tcW w:type="dxa" w:w="1361"/>
          </w:tcPr>
          <w:p>
            <w:pPr>
              <w:spacing w:before="60" w:after="60"/>
            </w:pPr>
            <w:r>
              <w:rPr>
                <w:b w:val="0"/>
                <w:i w:val="0"/>
                <w:color w:val="1C1F26"/>
                <w:sz w:val="18"/>
                <w:rFonts w:ascii="Palatino Linotype" w:hAnsi="Palatino Linotype" w:cs="Palatino Linotype"/>
              </w:rPr>
              <w:t>1.36 – 1.41</w:t>
            </w:r>
          </w:p>
        </w:tc>
        <w:tc>
          <w:tcPr>
            <w:tcW w:type="dxa" w:w="1587"/>
          </w:tcPr>
          <w:p>
            <w:pPr>
              <w:spacing w:before="60" w:after="60"/>
            </w:pPr>
            <w:r>
              <w:rPr>
                <w:b w:val="0"/>
                <w:i w:val="0"/>
                <w:color w:val="1C1F26"/>
                <w:sz w:val="18"/>
                <w:rFonts w:ascii="Palatino Linotype" w:hAnsi="Palatino Linotype" w:cs="Palatino Linotype"/>
              </w:rPr>
              <w:t>20 agosto 2026</w:t>
            </w:r>
          </w:p>
        </w:tc>
        <w:tc>
          <w:tcPr>
            <w:tcW w:type="dxa" w:w="6463"/>
          </w:tcPr>
          <w:p>
            <w:pPr>
              <w:spacing w:before="60" w:after="60"/>
            </w:pPr>
            <w:r>
              <w:rPr>
                <w:b w:val="0"/>
                <w:i w:val="0"/>
                <w:color w:val="1C1F26"/>
                <w:sz w:val="18"/>
                <w:rFonts w:ascii="Palatino Linotype" w:hAnsi="Palatino Linotype" w:cs="Palatino Linotype"/>
              </w:rPr>
              <w:t>Las escalas de faltas pasan al modelo de bandas por densidad; toda matriz reparte en techos pares y todo componente tiene banda para el nivel más bajo; los tramos en singular se hacen medibles.</w:t>
            </w:r>
          </w:p>
        </w:tc>
      </w:tr>
      <w:tr>
        <w:tc>
          <w:tcPr>
            <w:tcW w:type="dxa" w:w="1361"/>
          </w:tcPr>
          <w:p>
            <w:pPr>
              <w:spacing w:before="60" w:after="60"/>
            </w:pPr>
            <w:r>
              <w:rPr>
                <w:b w:val="0"/>
                <w:i w:val="0"/>
                <w:color w:val="1C1F26"/>
                <w:sz w:val="18"/>
                <w:rFonts w:ascii="Palatino Linotype" w:hAnsi="Palatino Linotype" w:cs="Palatino Linotype"/>
              </w:rPr>
              <w:t>1.42</w:t>
            </w:r>
          </w:p>
        </w:tc>
        <w:tc>
          <w:tcPr>
            <w:tcW w:type="dxa" w:w="1587"/>
          </w:tcPr>
          <w:p>
            <w:pPr>
              <w:spacing w:before="60" w:after="60"/>
            </w:pPr>
            <w:r>
              <w:rPr>
                <w:b w:val="0"/>
                <w:i w:val="0"/>
                <w:color w:val="1C1F26"/>
                <w:sz w:val="18"/>
                <w:rFonts w:ascii="Palatino Linotype" w:hAnsi="Palatino Linotype" w:cs="Palatino Linotype"/>
              </w:rPr>
              <w:t>25 agosto 2026</w:t>
            </w:r>
          </w:p>
        </w:tc>
        <w:tc>
          <w:tcPr>
            <w:tcW w:type="dxa" w:w="6463"/>
          </w:tcPr>
          <w:p>
            <w:pPr>
              <w:spacing w:before="60" w:after="60"/>
            </w:pPr>
            <w:r>
              <w:rPr>
                <w:b w:val="0"/>
                <w:i w:val="0"/>
                <w:color w:val="1C1F26"/>
                <w:sz w:val="18"/>
                <w:rFonts w:ascii="Palatino Linotype" w:hAnsi="Palatino Linotype" w:cs="Palatino Linotype"/>
              </w:rPr>
              <w:t>Se cierran las seis decisiones que quedaban abiertas en el documento de diseño: condición mínima, escala por defecto, tope de descuentos, rúbrica holística, publicación y reparto de responsabilidades con la corrección asistida.</w:t>
            </w:r>
          </w:p>
        </w:tc>
      </w:tr>
      <w:tr>
        <w:tc>
          <w:tcPr>
            <w:tcW w:type="dxa" w:w="1361"/>
          </w:tcPr>
          <w:p>
            <w:pPr>
              <w:spacing w:before="60" w:after="60"/>
            </w:pPr>
            <w:r>
              <w:rPr>
                <w:b w:val="0"/>
                <w:i w:val="0"/>
                <w:color w:val="1C1F26"/>
                <w:sz w:val="18"/>
                <w:rFonts w:ascii="Palatino Linotype" w:hAnsi="Palatino Linotype" w:cs="Palatino Linotype"/>
              </w:rPr>
              <w:t>1.43 – 1.44</w:t>
            </w:r>
          </w:p>
        </w:tc>
        <w:tc>
          <w:tcPr>
            <w:tcW w:type="dxa" w:w="1587"/>
          </w:tcPr>
          <w:p>
            <w:pPr>
              <w:spacing w:before="60" w:after="60"/>
            </w:pPr>
            <w:r>
              <w:rPr>
                <w:b w:val="0"/>
                <w:i w:val="0"/>
                <w:color w:val="1C1F26"/>
                <w:sz w:val="18"/>
                <w:rFonts w:ascii="Palatino Linotype" w:hAnsi="Palatino Linotype" w:cs="Palatino Linotype"/>
              </w:rPr>
              <w:t>26 agosto 2026</w:t>
            </w:r>
          </w:p>
        </w:tc>
        <w:tc>
          <w:tcPr>
            <w:tcW w:type="dxa" w:w="6463"/>
          </w:tcPr>
          <w:p>
            <w:pPr>
              <w:spacing w:before="60" w:after="60"/>
            </w:pPr>
            <w:r>
              <w:rPr>
                <w:b w:val="0"/>
                <w:i w:val="0"/>
                <w:color w:val="1C1F26"/>
                <w:sz w:val="18"/>
                <w:rFonts w:ascii="Palatino Linotype" w:hAnsi="Palatino Linotype" w:cs="Palatino Linotype"/>
              </w:rPr>
              <w:t>Exportación a los dos importadores del cuaderno del profesor: el CSV de notas y la rúbrica en blanco, como caminos alternativos que elige el docente.</w:t>
            </w:r>
          </w:p>
        </w:tc>
      </w:tr>
      <w:tr>
        <w:tc>
          <w:tcPr>
            <w:tcW w:type="dxa" w:w="1361"/>
          </w:tcPr>
          <w:p>
            <w:pPr>
              <w:spacing w:before="60" w:after="60"/>
            </w:pPr>
            <w:r>
              <w:rPr>
                <w:b/>
                <w:i w:val="0"/>
                <w:color w:val="1C1F26"/>
                <w:sz w:val="18"/>
                <w:rFonts w:ascii="Palatino Linotype" w:hAnsi="Palatino Linotype" w:cs="Palatino Linotype"/>
              </w:rPr>
              <w:t>1.45</w:t>
            </w:r>
          </w:p>
        </w:tc>
        <w:tc>
          <w:tcPr>
            <w:tcW w:type="dxa" w:w="1587"/>
          </w:tcPr>
          <w:p>
            <w:pPr>
              <w:spacing w:before="60" w:after="60"/>
            </w:pPr>
            <w:r>
              <w:rPr>
                <w:b/>
                <w:i w:val="0"/>
                <w:color w:val="1C1F26"/>
                <w:sz w:val="18"/>
                <w:rFonts w:ascii="Palatino Linotype" w:hAnsi="Palatino Linotype" w:cs="Palatino Linotype"/>
              </w:rPr>
              <w:t>31 de agosto de 2026</w:t>
            </w:r>
          </w:p>
        </w:tc>
        <w:tc>
          <w:tcPr>
            <w:tcW w:type="dxa" w:w="6463"/>
          </w:tcPr>
          <w:p>
            <w:pPr>
              <w:spacing w:before="60" w:after="60"/>
            </w:pPr>
            <w:r>
              <w:rPr>
                <w:b/>
                <w:i w:val="0"/>
                <w:color w:val="1C1F26"/>
                <w:sz w:val="18"/>
                <w:rFonts w:ascii="Palatino Linotype" w:hAnsi="Palatino Linotype" w:cs="Palatino Linotype"/>
              </w:rPr>
              <w:t>Versión objeto de esta solicitud.</w:t>
            </w:r>
            <w:r>
              <w:rPr>
                <w:b w:val="0"/>
                <w:i w:val="0"/>
                <w:color w:val="1C1F26"/>
                <w:sz w:val="18"/>
                <w:rFonts w:ascii="Palatino Linotype" w:hAnsi="Palatino Linotype" w:cs="Palatino Linotype"/>
              </w:rPr>
              <w:t xml:space="preserve"> La guía del profesorado pasa a generarse desde el contenido, y el barrido para rehacerla destapa un defecto de concordancia en tres packs, corregido sin mover ningún umbral. Es el mismo principio que rige esta memoria: un dato escrito a mano envejece en silencio.</w:t>
            </w:r>
          </w:p>
        </w:tc>
      </w:tr>
    </w:tbl>
    <w:p>
      <w:pPr>
        <w:spacing w:after="0"/>
      </w:pPr>
    </w:p>
    <w:p>
      <w:r>
        <w:br w:type="page"/>
      </w:r>
    </w:p>
    <w:p>
      <w:pPr>
        <w:keepNext/>
        <w:spacing w:before="440" w:after="120"/>
      </w:pPr>
      <w:r>
        <w:rPr>
          <w:b/>
          <w:i w:val="0"/>
          <w:color w:val="7A3B2E"/>
          <w:sz w:val="30"/>
          <w:rFonts w:ascii="Palatino Linotype" w:hAnsi="Palatino Linotype" w:cs="Palatino Linotype"/>
        </w:rPr>
        <w:t>9. TITULARIDAD Y DERECHOS DE EXPLOTACIÓN</w:t>
      </w:r>
    </w:p>
    <w:p>
      <w:pPr>
        <w:jc w:val="both"/>
      </w:pPr>
      <w:r>
        <w:rPr>
          <w:b w:val="0"/>
          <w:i w:val="0"/>
          <w:color w:val="1C1F26"/>
          <w:sz w:val="21"/>
          <w:rFonts w:ascii="Palatino Linotype" w:hAnsi="Palatino Linotype" w:cs="Palatino Linotype"/>
        </w:rPr>
        <w:t>El autor, D. José Luis Asensio Valera, declara ser titular exclusivo de todos los derechos de propiedad intelectual sobre la obra descrita en el presente documento y sobre la totalidad del código, las estructuras de datos y los contenidos didácticos que la integran, en virtud del artículo 5 del Real Decreto Legislativo 1/1996, de 12 de abril, por el que se aprueba el Texto Refundido de la Ley de Propiedad Intelectual.</w:t>
      </w:r>
    </w:p>
    <w:p>
      <w:pPr>
        <w:jc w:val="both"/>
      </w:pPr>
      <w:r>
        <w:rPr>
          <w:b w:val="0"/>
          <w:i w:val="0"/>
          <w:color w:val="1C1F26"/>
          <w:sz w:val="21"/>
          <w:rFonts w:ascii="Palatino Linotype" w:hAnsi="Palatino Linotype" w:cs="Palatino Linotype"/>
        </w:rPr>
        <w:t>La obra ha sido desarrollada íntegramente por el autor, fuera del horario laboral, con medios propios y sin uso de recursos del centro educativo en el que presta servicio como docente. El autor no ha cedido, transmitido ni licenciado derecho alguno sobre la obra a terceros, ni ha firmado acuerdo alguno que atribuya la titularidad a otra persona física o jurídica. El hecho de que la aplicación esté accesible públicamente en una dirección web para su uso por otros docentes constituye una puesta a disposición autorizada por el autor y no implica cesión ni cotitularidad de derecho alguno.</w:t>
      </w:r>
    </w:p>
    <w:p>
      <w:pPr>
        <w:jc w:val="both"/>
      </w:pPr>
      <w:r>
        <w:rPr>
          <w:b w:val="0"/>
          <w:i w:val="0"/>
          <w:color w:val="1C1F26"/>
          <w:sz w:val="21"/>
          <w:rFonts w:ascii="Palatino Linotype" w:hAnsi="Palatino Linotype" w:cs="Palatino Linotype"/>
        </w:rPr>
        <w:t>El autor se reserva la totalidad de los derechos patrimoniales de explotación sobre la obra, incluidos la reproducción, la distribución, la comunicación pública y la transformación, conforme a los artículos 17 a 23 del mismo texto refundido.</w:t>
      </w:r>
    </w:p>
    <w:p>
      <w:pPr>
        <w:keepNext/>
        <w:spacing w:before="260" w:after="60"/>
      </w:pPr>
      <w:r>
        <w:rPr>
          <w:b/>
          <w:i w:val="0"/>
          <w:color w:val="1C1F26"/>
          <w:sz w:val="23"/>
          <w:rFonts w:ascii="Palatino Linotype" w:hAnsi="Palatino Linotype" w:cs="Palatino Linotype"/>
        </w:rPr>
        <w:t>9.1 Registros previos y obras relacionadas</w:t>
      </w:r>
    </w:p>
    <w:p>
      <w:pPr>
        <w:jc w:val="both"/>
      </w:pPr>
      <w:r>
        <w:rPr>
          <w:b w:val="0"/>
          <w:i w:val="0"/>
          <w:color w:val="1C1F26"/>
          <w:sz w:val="21"/>
          <w:rFonts w:ascii="Palatino Linotype" w:hAnsi="Palatino Linotype" w:cs="Palatino Linotype"/>
        </w:rPr>
        <w:t xml:space="preserve">La presente solicitud es la </w:t>
      </w:r>
      <w:r>
        <w:rPr>
          <w:b/>
          <w:i w:val="0"/>
          <w:color w:val="1C1F26"/>
          <w:sz w:val="21"/>
          <w:rFonts w:ascii="Palatino Linotype" w:hAnsi="Palatino Linotype" w:cs="Palatino Linotype"/>
        </w:rPr>
        <w:t>primera inscripción</w:t>
      </w:r>
      <w:r>
        <w:rPr>
          <w:b w:val="0"/>
          <w:i w:val="0"/>
          <w:color w:val="1C1F26"/>
          <w:sz w:val="21"/>
          <w:rFonts w:ascii="Palatino Linotype" w:hAnsi="Palatino Linotype" w:cs="Palatino Linotype"/>
        </w:rPr>
        <w:t xml:space="preserve"> de esta obra. Se hace constar que el mismo autor tiene inscrita en este mismo Registro Territorial otra obra de software educativo de su exclusiva titularidad, «Taller de Sintaxis», con la que la presente comparte terminología y filosofía evaluativa pero </w:t>
      </w:r>
      <w:r>
        <w:rPr>
          <w:b/>
          <w:i w:val="0"/>
          <w:color w:val="1C1F26"/>
          <w:sz w:val="21"/>
          <w:rFonts w:ascii="Palatino Linotype" w:hAnsi="Palatino Linotype" w:cs="Palatino Linotype"/>
        </w:rPr>
        <w:t>no comparte código, estructuras de datos ni contenidos</w:t>
      </w:r>
      <w:r>
        <w:rPr>
          <w:b w:val="0"/>
          <w:i w:val="0"/>
          <w:color w:val="1C1F26"/>
          <w:sz w:val="21"/>
          <w:rFonts w:ascii="Palatino Linotype" w:hAnsi="Palatino Linotype" w:cs="Palatino Linotype"/>
        </w:rPr>
        <w:t>: son dos programas independientes, con arquitectura, modelo de datos y finalidad distintos.</w:t>
      </w:r>
    </w:p>
    <w:p>
      <w:pPr>
        <w:jc w:val="both"/>
      </w:pPr>
      <w:r>
        <w:rPr>
          <w:b w:val="0"/>
          <w:i w:val="0"/>
          <w:color w:val="1C1F26"/>
          <w:sz w:val="21"/>
          <w:rFonts w:ascii="Palatino Linotype" w:hAnsi="Palatino Linotype" w:cs="Palatino Linotype"/>
        </w:rPr>
        <w:t xml:space="preserve">El autor podrá depositar adicionalmente la obra en un servicio de registro privado de obra digital a efectos de prueba fehaciente de la fecha de creación. Dicho depósito no sustituye al registro público, que se solicita para obtener la presunción legal de autoría del artículo 145.3 del Texto Refundido de la Ley de Propiedad Intelectual. Número de depósito, si se aporta: </w:t>
      </w:r>
      <w:r>
        <w:rPr>
          <w:b/>
          <w:i w:val="0"/>
          <w:color w:val="7F1D1D"/>
          <w:sz w:val="21"/>
          <w:rFonts w:ascii="Palatino Linotype" w:hAnsi="Palatino Linotype" w:cs="Palatino Linotype"/>
          <w:highlight w:val="yellow"/>
        </w:rPr>
        <w:t xml:space="preserve">  ______________________  </w:t>
      </w:r>
    </w:p>
    <w:p>
      <w:pPr>
        <w:keepNext/>
        <w:spacing w:before="440" w:after="120"/>
      </w:pPr>
      <w:r>
        <w:rPr>
          <w:b/>
          <w:i w:val="0"/>
          <w:color w:val="7A3B2E"/>
          <w:sz w:val="30"/>
          <w:rFonts w:ascii="Palatino Linotype" w:hAnsi="Palatino Linotype" w:cs="Palatino Linotype"/>
        </w:rPr>
        <w:t>10. FIRMA</w:t>
      </w:r>
    </w:p>
    <w:p>
      <w:pPr>
        <w:jc w:val="both"/>
      </w:pPr>
      <w:r>
        <w:rPr>
          <w:b w:val="0"/>
          <w:i w:val="0"/>
          <w:color w:val="1C1F26"/>
          <w:sz w:val="21"/>
          <w:rFonts w:ascii="Palatino Linotype" w:hAnsi="Palatino Linotype" w:cs="Palatino Linotype"/>
        </w:rPr>
        <w:t xml:space="preserve">En </w:t>
      </w:r>
      <w:r>
        <w:rPr>
          <w:b/>
          <w:i w:val="0"/>
          <w:color w:val="7F1D1D"/>
          <w:sz w:val="21"/>
          <w:rFonts w:ascii="Palatino Linotype" w:hAnsi="Palatino Linotype" w:cs="Palatino Linotype"/>
          <w:highlight w:val="yellow"/>
        </w:rPr>
        <w:t xml:space="preserve">  ______________________  </w:t>
      </w:r>
      <w:r>
        <w:rPr>
          <w:b w:val="0"/>
          <w:i w:val="0"/>
          <w:color w:val="1C1F26"/>
          <w:sz w:val="21"/>
          <w:rFonts w:ascii="Palatino Linotype" w:hAnsi="Palatino Linotype" w:cs="Palatino Linotype"/>
        </w:rPr>
        <w:t xml:space="preserve">, a </w:t>
      </w:r>
      <w:r>
        <w:rPr>
          <w:b/>
          <w:i w:val="0"/>
          <w:color w:val="7F1D1D"/>
          <w:sz w:val="21"/>
          <w:rFonts w:ascii="Palatino Linotype" w:hAnsi="Palatino Linotype" w:cs="Palatino Linotype"/>
          <w:highlight w:val="yellow"/>
        </w:rPr>
        <w:t xml:space="preserve">  ______  </w:t>
      </w:r>
      <w:r>
        <w:rPr>
          <w:b w:val="0"/>
          <w:i w:val="0"/>
          <w:color w:val="1C1F26"/>
          <w:sz w:val="21"/>
          <w:rFonts w:ascii="Palatino Linotype" w:hAnsi="Palatino Linotype" w:cs="Palatino Linotype"/>
        </w:rPr>
        <w:t xml:space="preserve"> de </w:t>
      </w:r>
      <w:r>
        <w:rPr>
          <w:b/>
          <w:i w:val="0"/>
          <w:color w:val="7F1D1D"/>
          <w:sz w:val="21"/>
          <w:rFonts w:ascii="Palatino Linotype" w:hAnsi="Palatino Linotype" w:cs="Palatino Linotype"/>
          <w:highlight w:val="yellow"/>
        </w:rPr>
        <w:t xml:space="preserve">  ______________  </w:t>
      </w:r>
      <w:r>
        <w:rPr>
          <w:b w:val="0"/>
          <w:i w:val="0"/>
          <w:color w:val="1C1F26"/>
          <w:sz w:val="21"/>
          <w:rFonts w:ascii="Palatino Linotype" w:hAnsi="Palatino Linotype" w:cs="Palatino Linotype"/>
        </w:rPr>
        <w:t xml:space="preserve"> de 2026.</w:t>
      </w:r>
    </w:p>
    <w:p>
      <w:pPr>
        <w:spacing w:after="0"/>
      </w:pPr>
    </w:p>
    <w:p>
      <w:pPr>
        <w:spacing w:after="0"/>
      </w:pPr>
    </w:p>
    <w:p>
      <w:pPr>
        <w:spacing w:after="0"/>
      </w:pPr>
    </w:p>
    <w:p>
      <w:pPr>
        <w:spacing w:after="0"/>
      </w:pPr>
    </w:p>
    <w:p>
      <w:pPr>
        <w:jc w:val="both"/>
      </w:pPr>
      <w:r>
        <w:rPr>
          <w:b w:val="0"/>
          <w:i w:val="0"/>
          <w:color w:val="1C1F26"/>
          <w:sz w:val="22"/>
          <w:rFonts w:ascii="Palatino Linotype" w:hAnsi="Palatino Linotype" w:cs="Palatino Linotype"/>
        </w:rPr>
        <w:t>Fdo.: José Luis Asensio Valera</w:t>
      </w:r>
    </w:p>
    <w:p>
      <w:pPr>
        <w:jc w:val="both"/>
      </w:pPr>
      <w:r>
        <w:rPr>
          <w:b w:val="0"/>
          <w:i w:val="0"/>
          <w:color w:val="1C1F26"/>
          <w:sz w:val="21"/>
          <w:rFonts w:ascii="Palatino Linotype" w:hAnsi="Palatino Linotype" w:cs="Palatino Linotype"/>
        </w:rPr>
        <w:t>DNI 23265690-V</w:t>
      </w:r>
    </w:p>
    <w:p>
      <w:r>
        <w:br w:type="page"/>
      </w:r>
    </w:p>
    <w:p>
      <w:pPr>
        <w:keepNext/>
        <w:spacing w:before="440" w:after="120"/>
      </w:pPr>
      <w:r>
        <w:rPr>
          <w:b/>
          <w:i w:val="0"/>
          <w:color w:val="7A3B2E"/>
          <w:sz w:val="30"/>
          <w:rFonts w:ascii="Palatino Linotype" w:hAnsi="Palatino Linotype" w:cs="Palatino Linotype"/>
        </w:rPr>
        <w:t>ANEXO · RELACIÓN DE FICHEROS DE LA OBRA</w:t>
      </w:r>
    </w:p>
    <w:p>
      <w:pPr>
        <w:jc w:val="both"/>
      </w:pPr>
      <w:r>
        <w:rPr>
          <w:b w:val="0"/>
          <w:i w:val="0"/>
          <w:color w:val="1C1F26"/>
          <w:sz w:val="21"/>
          <w:rFonts w:ascii="Palatino Linotype" w:hAnsi="Palatino Linotype" w:cs="Palatino Linotype"/>
        </w:rPr>
        <w:t>A efectos identificativos se relacionan los ficheros que componen el código fuente, el contenido curricular y los materiales didácticos de la obra, cuyo contenido íntegro se aporta como material de la solicitud.</w:t>
      </w:r>
    </w:p>
    <w:p>
      <w:pPr>
        <w:keepNext/>
        <w:spacing w:before="260" w:after="60"/>
      </w:pPr>
      <w:r>
        <w:rPr>
          <w:b/>
          <w:i w:val="0"/>
          <w:color w:val="1C1F26"/>
          <w:sz w:val="23"/>
          <w:rFonts w:ascii="Palatino Linotype" w:hAnsi="Palatino Linotype" w:cs="Palatino Linotype"/>
        </w:rPr>
        <w:t>Aplicación e interfaz</w:t>
      </w:r>
    </w:p>
    <w:p>
      <w:pPr>
        <w:pStyle w:val="ListBullet"/>
        <w:spacing w:after="60"/>
        <w:jc w:val="both"/>
      </w:pPr>
      <w:r>
        <w:rPr>
          <w:b w:val="0"/>
          <w:i w:val="0"/>
          <w:color w:val="1C1F26"/>
          <w:sz w:val="21"/>
          <w:rFonts w:ascii="Palatino Linotype" w:hAnsi="Palatino Linotype" w:cs="Palatino Linotype"/>
        </w:rPr>
        <w:t>`index.html` — documento de pantallas de la aplicación.</w:t>
      </w:r>
    </w:p>
    <w:p>
      <w:pPr>
        <w:pStyle w:val="ListBullet"/>
        <w:spacing w:after="60"/>
        <w:jc w:val="both"/>
      </w:pPr>
      <w:r>
        <w:rPr>
          <w:b w:val="0"/>
          <w:i w:val="0"/>
          <w:color w:val="1C1F26"/>
          <w:sz w:val="21"/>
          <w:rFonts w:ascii="Palatino Linotype" w:hAnsi="Palatino Linotype" w:cs="Palatino Linotype"/>
        </w:rPr>
        <w:t>`css/styles.css` — sistema de estilos de pantalla. `css/print.css` — hoja de impresión para el papel que se reparte en clase.</w:t>
      </w:r>
    </w:p>
    <w:p>
      <w:pPr>
        <w:pStyle w:val="ListBullet"/>
        <w:spacing w:after="60"/>
        <w:jc w:val="both"/>
      </w:pPr>
      <w:r>
        <w:rPr>
          <w:b w:val="0"/>
          <w:i w:val="0"/>
          <w:color w:val="1C1F26"/>
          <w:sz w:val="21"/>
          <w:rFonts w:ascii="Palatino Linotype" w:hAnsi="Palatino Linotype" w:cs="Palatino Linotype"/>
        </w:rPr>
        <w:t>`manifest.webmanifest` y `sw.js` — instalación en iPad, Android y escritorio, y funcionamiento sin conexión.</w:t>
      </w:r>
    </w:p>
    <w:p>
      <w:pPr>
        <w:pStyle w:val="ListBullet"/>
        <w:spacing w:after="60"/>
        <w:jc w:val="both"/>
      </w:pPr>
      <w:r>
        <w:rPr>
          <w:b w:val="0"/>
          <w:i w:val="0"/>
          <w:color w:val="1C1F26"/>
          <w:sz w:val="21"/>
          <w:rFonts w:ascii="Palatino Linotype" w:hAnsi="Palatino Linotype" w:cs="Palatino Linotype"/>
        </w:rPr>
        <w:t>`assets/icons/` — juego completo de iconos de la aplicación instalada (generados).</w:t>
      </w:r>
    </w:p>
    <w:p>
      <w:pPr>
        <w:keepNext/>
        <w:spacing w:before="260" w:after="60"/>
      </w:pPr>
      <w:r>
        <w:rPr>
          <w:b/>
          <w:i w:val="0"/>
          <w:color w:val="1C1F26"/>
          <w:sz w:val="23"/>
          <w:rFonts w:ascii="Palatino Linotype" w:hAnsi="Palatino Linotype" w:cs="Palatino Linotype"/>
        </w:rPr>
        <w:t>Lógica de la aplicación (js/)</w:t>
      </w:r>
    </w:p>
    <w:p>
      <w:pPr>
        <w:pStyle w:val="ListBullet"/>
        <w:spacing w:after="60"/>
        <w:jc w:val="both"/>
      </w:pPr>
      <w:r>
        <w:rPr>
          <w:b w:val="0"/>
          <w:i w:val="0"/>
          <w:color w:val="1C1F26"/>
          <w:sz w:val="21"/>
          <w:rFonts w:ascii="Palatino Linotype" w:hAnsi="Palatino Linotype" w:cs="Palatino Linotype"/>
        </w:rPr>
        <w:t>`motor.js` — puerta de aplicabilidad, filtrado, premarcado, pesos y generación de los instrumentos.</w:t>
      </w:r>
    </w:p>
    <w:p>
      <w:pPr>
        <w:pStyle w:val="ListBullet"/>
        <w:spacing w:after="60"/>
        <w:jc w:val="both"/>
      </w:pPr>
      <w:r>
        <w:rPr>
          <w:b w:val="0"/>
          <w:i w:val="0"/>
          <w:color w:val="1C1F26"/>
          <w:sz w:val="21"/>
          <w:rFonts w:ascii="Palatino Linotype" w:hAnsi="Palatino Linotype" w:cs="Palatino Linotype"/>
        </w:rPr>
        <w:t>`calificacion.js` — modelo de cálculo en funciones puras. `calificar.js` — pantalla de registro por alumno y exportación de notas.</w:t>
      </w:r>
    </w:p>
    <w:p>
      <w:pPr>
        <w:pStyle w:val="ListBullet"/>
        <w:spacing w:after="60"/>
        <w:jc w:val="both"/>
      </w:pPr>
      <w:r>
        <w:rPr>
          <w:b w:val="0"/>
          <w:i w:val="0"/>
          <w:color w:val="1C1F26"/>
          <w:sz w:val="21"/>
          <w:rFonts w:ascii="Palatino Linotype" w:hAnsi="Palatino Linotype" w:cs="Palatino Linotype"/>
        </w:rPr>
        <w:t>`validador.js` — las reglas de calidad de descriptores. `lexico.js` — palabras y umbrales (generado, no se edita).</w:t>
      </w:r>
    </w:p>
    <w:p>
      <w:pPr>
        <w:pStyle w:val="ListBullet"/>
        <w:spacing w:after="60"/>
        <w:jc w:val="both"/>
      </w:pPr>
      <w:r>
        <w:rPr>
          <w:b w:val="0"/>
          <w:i w:val="0"/>
          <w:color w:val="1C1F26"/>
          <w:sz w:val="21"/>
          <w:rFonts w:ascii="Palatino Linotype" w:hAnsi="Palatino Linotype" w:cs="Palatino Linotype"/>
        </w:rPr>
        <w:t>`microexplicaciones.js` — catálogo único del «¿por qué?» de cada control.</w:t>
      </w:r>
    </w:p>
    <w:p>
      <w:pPr>
        <w:pStyle w:val="ListBullet"/>
        <w:spacing w:after="60"/>
        <w:jc w:val="both"/>
      </w:pPr>
      <w:r>
        <w:rPr>
          <w:b w:val="0"/>
          <w:i w:val="0"/>
          <w:color w:val="1C1F26"/>
          <w:sz w:val="21"/>
          <w:rFonts w:ascii="Palatino Linotype" w:hAnsi="Palatino Linotype" w:cs="Palatino Linotype"/>
        </w:rPr>
        <w:t>`ui.js` y `main.js` — vista previa, pestañas de instrumento y exportación de la rúbrica.</w:t>
      </w:r>
    </w:p>
    <w:p>
      <w:pPr>
        <w:pStyle w:val="ListBullet"/>
        <w:spacing w:after="60"/>
        <w:jc w:val="both"/>
      </w:pPr>
      <w:r>
        <w:rPr>
          <w:b w:val="0"/>
          <w:i w:val="0"/>
          <w:color w:val="1C1F26"/>
          <w:sz w:val="21"/>
          <w:rFonts w:ascii="Palatino Linotype" w:hAnsi="Palatino Linotype" w:cs="Palatino Linotype"/>
        </w:rPr>
        <w:t>`modo-avanzado.js` — selección de dimensiones y reparto de pesos. `csv.js` — escritura conforme a RFC 4180. `pwa.js` — instalación.</w:t>
      </w:r>
    </w:p>
    <w:p>
      <w:pPr>
        <w:keepNext/>
        <w:spacing w:before="260" w:after="60"/>
      </w:pPr>
      <w:r>
        <w:rPr>
          <w:b/>
          <w:i w:val="0"/>
          <w:color w:val="1C1F26"/>
          <w:sz w:val="23"/>
          <w:rFonts w:ascii="Palatino Linotype" w:hAnsi="Palatino Linotype" w:cs="Palatino Linotype"/>
        </w:rPr>
        <w:t>Contenido curricular (data/)</w:t>
      </w:r>
    </w:p>
    <w:p>
      <w:pPr>
        <w:pStyle w:val="ListBullet"/>
        <w:spacing w:after="60"/>
        <w:jc w:val="both"/>
      </w:pPr>
      <w:r>
        <w:rPr>
          <w:b w:val="0"/>
          <w:i w:val="0"/>
          <w:color w:val="1C1F26"/>
          <w:sz w:val="21"/>
          <w:rFonts w:ascii="Palatino Linotype" w:hAnsi="Palatino Linotype" w:cs="Palatino Linotype"/>
        </w:rPr>
        <w:t>`pack-lcl-argumentativo.json` — texto argumentativo: 30 criterios en cinco cursos.</w:t>
      </w:r>
    </w:p>
    <w:p>
      <w:pPr>
        <w:pStyle w:val="ListBullet"/>
        <w:spacing w:after="60"/>
        <w:jc w:val="both"/>
      </w:pPr>
      <w:r>
        <w:rPr>
          <w:b w:val="0"/>
          <w:i w:val="0"/>
          <w:color w:val="1C1F26"/>
          <w:sz w:val="21"/>
          <w:rFonts w:ascii="Palatino Linotype" w:hAnsi="Palatino Linotype" w:cs="Palatino Linotype"/>
        </w:rPr>
        <w:t>`pack-lcl-comentario.json` — comentario de texto literario: 29 criterios en cinco cursos.</w:t>
      </w:r>
    </w:p>
    <w:p>
      <w:pPr>
        <w:pStyle w:val="ListBullet"/>
        <w:spacing w:after="60"/>
        <w:jc w:val="both"/>
      </w:pPr>
      <w:r>
        <w:rPr>
          <w:b w:val="0"/>
          <w:i w:val="0"/>
          <w:color w:val="1C1F26"/>
          <w:sz w:val="21"/>
          <w:rFonts w:ascii="Palatino Linotype" w:hAnsi="Palatino Linotype" w:cs="Palatino Linotype"/>
        </w:rPr>
        <w:t>`pack-lcl-debate.json` — debate y situaciones orales dialogadas: 11 criterios en tres cursos.</w:t>
      </w:r>
    </w:p>
    <w:p>
      <w:pPr>
        <w:pStyle w:val="ListBullet"/>
        <w:spacing w:after="60"/>
        <w:jc w:val="both"/>
      </w:pPr>
      <w:r>
        <w:rPr>
          <w:b w:val="0"/>
          <w:i w:val="0"/>
          <w:color w:val="1C1F26"/>
          <w:sz w:val="21"/>
          <w:rFonts w:ascii="Palatino Linotype" w:hAnsi="Palatino Linotype" w:cs="Palatino Linotype"/>
        </w:rPr>
        <w:t>`pack-lcl-expositivo.json` — texto expositivo: 36 criterios en seis cursos.</w:t>
      </w:r>
    </w:p>
    <w:p>
      <w:pPr>
        <w:pStyle w:val="ListBullet"/>
        <w:spacing w:after="60"/>
        <w:jc w:val="both"/>
      </w:pPr>
      <w:r>
        <w:rPr>
          <w:b w:val="0"/>
          <w:i w:val="0"/>
          <w:color w:val="1C1F26"/>
          <w:sz w:val="21"/>
          <w:rFonts w:ascii="Palatino Linotype" w:hAnsi="Palatino Linotype" w:cs="Palatino Linotype"/>
        </w:rPr>
        <w:t>`pack-lcl-investigacion.json` — trabajo de investigación multimodal: 27 criterios en cinco cursos.</w:t>
      </w:r>
    </w:p>
    <w:p>
      <w:pPr>
        <w:pStyle w:val="ListBullet"/>
        <w:spacing w:after="60"/>
        <w:jc w:val="both"/>
      </w:pPr>
      <w:r>
        <w:rPr>
          <w:b w:val="0"/>
          <w:i w:val="0"/>
          <w:color w:val="1C1F26"/>
          <w:sz w:val="21"/>
          <w:rFonts w:ascii="Palatino Linotype" w:hAnsi="Palatino Linotype" w:cs="Palatino Linotype"/>
        </w:rPr>
        <w:t>`pack-lcl-narracion.json` — narración: 18 criterios en tres cursos.</w:t>
      </w:r>
    </w:p>
    <w:p>
      <w:pPr>
        <w:pStyle w:val="ListBullet"/>
        <w:spacing w:after="60"/>
        <w:jc w:val="both"/>
      </w:pPr>
      <w:r>
        <w:rPr>
          <w:b w:val="0"/>
          <w:i w:val="0"/>
          <w:color w:val="1C1F26"/>
          <w:sz w:val="21"/>
          <w:rFonts w:ascii="Palatino Linotype" w:hAnsi="Palatino Linotype" w:cs="Palatino Linotype"/>
        </w:rPr>
        <w:t>`pack-lcl-noticia.json` — redacción de una noticia: 24 criterios en cinco cursos.</w:t>
      </w:r>
    </w:p>
    <w:p>
      <w:pPr>
        <w:pStyle w:val="ListBullet"/>
        <w:spacing w:after="60"/>
        <w:jc w:val="both"/>
      </w:pPr>
      <w:r>
        <w:rPr>
          <w:b w:val="0"/>
          <w:i w:val="0"/>
          <w:color w:val="1C1F26"/>
          <w:sz w:val="21"/>
          <w:rFonts w:ascii="Palatino Linotype" w:hAnsi="Palatino Linotype" w:cs="Palatino Linotype"/>
        </w:rPr>
        <w:t>`pack-lcl-oral.json` — exposición oral: 36 criterios en seis cursos.</w:t>
      </w:r>
    </w:p>
    <w:p>
      <w:pPr>
        <w:pStyle w:val="ListBullet"/>
        <w:spacing w:after="60"/>
        <w:jc w:val="both"/>
      </w:pPr>
      <w:r>
        <w:rPr>
          <w:b w:val="0"/>
          <w:i w:val="0"/>
          <w:color w:val="1C1F26"/>
          <w:sz w:val="21"/>
          <w:rFonts w:ascii="Palatino Linotype" w:hAnsi="Palatino Linotype" w:cs="Palatino Linotype"/>
        </w:rPr>
        <w:t>`pack-lcl-reaccion.json` — reacción a una noticia: 18 criterios en cuatro cursos.</w:t>
      </w:r>
    </w:p>
    <w:p>
      <w:pPr>
        <w:pStyle w:val="ListBullet"/>
        <w:spacing w:after="60"/>
        <w:jc w:val="both"/>
      </w:pPr>
      <w:r>
        <w:rPr>
          <w:b w:val="0"/>
          <w:i w:val="0"/>
          <w:color w:val="1C1F26"/>
          <w:sz w:val="21"/>
          <w:rFonts w:ascii="Palatino Linotype" w:hAnsi="Palatino Linotype" w:cs="Palatino Linotype"/>
        </w:rPr>
        <w:t>`pack-lcl-resumen.json` — resumen de un texto: 20 criterios en cuatro cursos.</w:t>
      </w:r>
    </w:p>
    <w:p>
      <w:pPr>
        <w:pStyle w:val="ListBullet"/>
        <w:spacing w:after="60"/>
        <w:jc w:val="both"/>
      </w:pPr>
      <w:r>
        <w:rPr>
          <w:b w:val="0"/>
          <w:i w:val="0"/>
          <w:color w:val="1C1F26"/>
          <w:sz w:val="21"/>
          <w:rFonts w:ascii="Palatino Linotype" w:hAnsi="Palatino Linotype" w:cs="Palatino Linotype"/>
        </w:rPr>
        <w:t>`catalogo.json` — packs, materias, cursos y nombres de los cuatro niveles.</w:t>
      </w:r>
    </w:p>
    <w:p>
      <w:pPr>
        <w:pStyle w:val="ListBullet"/>
        <w:spacing w:after="60"/>
        <w:jc w:val="both"/>
      </w:pPr>
      <w:r>
        <w:rPr>
          <w:b w:val="0"/>
          <w:i w:val="0"/>
          <w:color w:val="1C1F26"/>
          <w:sz w:val="21"/>
          <w:rFonts w:ascii="Palatino Linotype" w:hAnsi="Palatino Linotype" w:cs="Palatino Linotype"/>
        </w:rPr>
        <w:t>`derivacion-lcl.json` — matriz de tarea × curso y techo de progresión por eje.</w:t>
      </w:r>
    </w:p>
    <w:p>
      <w:pPr>
        <w:pStyle w:val="ListBullet"/>
        <w:spacing w:after="60"/>
        <w:jc w:val="both"/>
      </w:pPr>
      <w:r>
        <w:rPr>
          <w:b w:val="0"/>
          <w:i w:val="0"/>
          <w:color w:val="1C1F26"/>
          <w:sz w:val="21"/>
          <w:rFonts w:ascii="Palatino Linotype" w:hAnsi="Palatino Linotype" w:cs="Palatino Linotype"/>
        </w:rPr>
        <w:t>`reglas-lexicas.json` — palabras y umbrales del validador, por materia.</w:t>
      </w:r>
    </w:p>
    <w:p>
      <w:pPr>
        <w:pStyle w:val="ListBullet"/>
        <w:spacing w:after="60"/>
        <w:jc w:val="both"/>
      </w:pPr>
      <w:r>
        <w:rPr>
          <w:b w:val="0"/>
          <w:i w:val="0"/>
          <w:color w:val="1C1F26"/>
          <w:sz w:val="21"/>
          <w:rFonts w:ascii="Palatino Linotype" w:hAnsi="Palatino Linotype" w:cs="Palatino Linotype"/>
        </w:rPr>
        <w:t>`verbos.json` — banco cerrado de verbos, en tercera y primera persona.</w:t>
      </w:r>
    </w:p>
    <w:p>
      <w:pPr>
        <w:pStyle w:val="ListBullet"/>
        <w:spacing w:after="60"/>
        <w:jc w:val="both"/>
      </w:pPr>
      <w:r>
        <w:rPr>
          <w:b w:val="0"/>
          <w:i w:val="0"/>
          <w:color w:val="1C1F26"/>
          <w:sz w:val="21"/>
          <w:rFonts w:ascii="Palatino Linotype" w:hAnsi="Palatino Linotype" w:cs="Palatino Linotype"/>
        </w:rPr>
        <w:t>`esquema-pack.json` — la forma que debe tener un pack.</w:t>
      </w:r>
    </w:p>
    <w:p>
      <w:pPr>
        <w:keepNext/>
        <w:spacing w:before="260" w:after="60"/>
      </w:pPr>
      <w:r>
        <w:rPr>
          <w:b/>
          <w:i w:val="0"/>
          <w:color w:val="1C1F26"/>
          <w:sz w:val="23"/>
          <w:rFonts w:ascii="Palatino Linotype" w:hAnsi="Palatino Linotype" w:cs="Palatino Linotype"/>
        </w:rPr>
        <w:t>Herramientas de construcción y comprobación (scripts/)</w:t>
      </w:r>
    </w:p>
    <w:p>
      <w:pPr>
        <w:pStyle w:val="ListBullet"/>
        <w:spacing w:after="60"/>
        <w:jc w:val="both"/>
      </w:pPr>
      <w:r>
        <w:rPr>
          <w:b w:val="0"/>
          <w:i w:val="0"/>
          <w:color w:val="1C1F26"/>
          <w:sz w:val="21"/>
          <w:rFonts w:ascii="Palatino Linotype" w:hAnsi="Palatino Linotype" w:cs="Palatino Linotype"/>
        </w:rPr>
        <w:t>`comprobar_todo.py` — la orden única que ejecuta todas las comprobaciones, la misma que ejecuta la integración continua.</w:t>
      </w:r>
    </w:p>
    <w:p>
      <w:pPr>
        <w:pStyle w:val="ListBullet"/>
        <w:spacing w:after="60"/>
        <w:jc w:val="both"/>
      </w:pPr>
      <w:r>
        <w:rPr>
          <w:b w:val="0"/>
          <w:i w:val="0"/>
          <w:color w:val="1C1F26"/>
          <w:sz w:val="21"/>
          <w:rFonts w:ascii="Palatino Linotype" w:hAnsi="Palatino Linotype" w:cs="Palatino Linotype"/>
        </w:rPr>
        <w:t>`validar_esquema.py` y `validar_pack.py` — forma del pack y reglas de contenido. `comprobar_paridad.py` — exige que los dos validadores digan lo mismo.</w:t>
      </w:r>
    </w:p>
    <w:p>
      <w:pPr>
        <w:pStyle w:val="ListBullet"/>
        <w:spacing w:after="60"/>
        <w:jc w:val="both"/>
      </w:pPr>
      <w:r>
        <w:rPr>
          <w:b w:val="0"/>
          <w:i w:val="0"/>
          <w:color w:val="1C1F26"/>
          <w:sz w:val="21"/>
          <w:rFonts w:ascii="Palatino Linotype" w:hAnsi="Palatino Linotype" w:cs="Palatino Linotype"/>
        </w:rPr>
        <w:t>`verificar_derivacion.py` — comprueba las citas contra el currículo real, con su auto-prueba de que lo corrupto debe fallar.</w:t>
      </w:r>
    </w:p>
    <w:p>
      <w:pPr>
        <w:pStyle w:val="ListBullet"/>
        <w:spacing w:after="60"/>
        <w:jc w:val="both"/>
      </w:pPr>
      <w:r>
        <w:rPr>
          <w:b w:val="0"/>
          <w:i w:val="0"/>
          <w:color w:val="1C1F26"/>
          <w:sz w:val="21"/>
          <w:rFonts w:ascii="Palatino Linotype" w:hAnsi="Palatino Linotype" w:cs="Palatino Linotype"/>
        </w:rPr>
        <w:t>`simular_correccion.py` — simulación de corrección con perfiles de alumno para probar toda matriz nueva.</w:t>
      </w:r>
    </w:p>
    <w:p>
      <w:pPr>
        <w:pStyle w:val="ListBullet"/>
        <w:spacing w:after="60"/>
        <w:jc w:val="both"/>
      </w:pPr>
      <w:r>
        <w:rPr>
          <w:b w:val="0"/>
          <w:i w:val="0"/>
          <w:color w:val="1C1F26"/>
          <w:sz w:val="21"/>
          <w:rFonts w:ascii="Palatino Linotype" w:hAnsi="Palatino Linotype" w:cs="Palatino Linotype"/>
        </w:rPr>
        <w:t>`generar_lexico.py`, `generar_tablas_sdd.py`, `generar_revision.py`, `generar_manual.py`, `generar_memoria_registro.py`, `generar_iconos.py` — generadores de los derivados.</w:t>
      </w:r>
    </w:p>
    <w:p>
      <w:pPr>
        <w:pStyle w:val="ListBullet"/>
        <w:spacing w:after="60"/>
        <w:jc w:val="both"/>
      </w:pPr>
      <w:r>
        <w:rPr>
          <w:b w:val="0"/>
          <w:i w:val="0"/>
          <w:color w:val="1C1F26"/>
          <w:sz w:val="21"/>
          <w:rFonts w:ascii="Palatino Linotype" w:hAnsi="Palatino Linotype" w:cs="Palatino Linotype"/>
        </w:rPr>
        <w:t>`dossier_criterios.py`, `ver.py`, `catalogo.py` — lectura selectiva del currículo y del diseño.</w:t>
      </w:r>
    </w:p>
    <w:p>
      <w:pPr>
        <w:keepNext/>
        <w:spacing w:before="260" w:after="60"/>
      </w:pPr>
      <w:r>
        <w:rPr>
          <w:b/>
          <w:i w:val="0"/>
          <w:color w:val="1C1F26"/>
          <w:sz w:val="23"/>
          <w:rFonts w:ascii="Palatino Linotype" w:hAnsi="Palatino Linotype" w:cs="Palatino Linotype"/>
        </w:rPr>
        <w:t>Pruebas (test/)</w:t>
      </w:r>
    </w:p>
    <w:p>
      <w:pPr>
        <w:pStyle w:val="ListBullet"/>
        <w:spacing w:after="60"/>
        <w:jc w:val="both"/>
      </w:pPr>
      <w:r>
        <w:rPr>
          <w:b w:val="0"/>
          <w:i w:val="0"/>
          <w:color w:val="1C1F26"/>
          <w:sz w:val="21"/>
          <w:rFonts w:ascii="Palatino Linotype" w:hAnsi="Palatino Linotype" w:cs="Palatino Linotype"/>
        </w:rPr>
        <w:t>`validar-reglas.mjs` y `validar-pack-real.mjs` — un caso por regla del validador, más la carga limpia del contenido real.</w:t>
      </w:r>
    </w:p>
    <w:p>
      <w:pPr>
        <w:pStyle w:val="ListBullet"/>
        <w:spacing w:after="60"/>
        <w:jc w:val="both"/>
      </w:pPr>
      <w:r>
        <w:rPr>
          <w:b w:val="0"/>
          <w:i w:val="0"/>
          <w:color w:val="1C1F26"/>
          <w:sz w:val="21"/>
          <w:rFonts w:ascii="Palatino Linotype" w:hAnsi="Palatino Linotype" w:cs="Palatino Linotype"/>
        </w:rPr>
        <w:t>`premarcado.mjs` — puertas de aplicabilidad y premarcado de dimensiones de proceso.</w:t>
      </w:r>
    </w:p>
    <w:p>
      <w:pPr>
        <w:pStyle w:val="ListBullet"/>
        <w:spacing w:after="60"/>
        <w:jc w:val="both"/>
      </w:pPr>
      <w:r>
        <w:rPr>
          <w:b w:val="0"/>
          <w:i w:val="0"/>
          <w:color w:val="1C1F26"/>
          <w:sz w:val="21"/>
          <w:rFonts w:ascii="Palatino Linotype" w:hAnsi="Palatino Linotype" w:cs="Palatino Linotype"/>
        </w:rPr>
        <w:t>`proyeccion.mjs` — proyección a primera persona, con invariante sobre el contenido completo.</w:t>
      </w:r>
    </w:p>
    <w:p>
      <w:pPr>
        <w:pStyle w:val="ListBullet"/>
        <w:spacing w:after="60"/>
        <w:jc w:val="both"/>
      </w:pPr>
      <w:r>
        <w:rPr>
          <w:b w:val="0"/>
          <w:i w:val="0"/>
          <w:color w:val="1C1F26"/>
          <w:sz w:val="21"/>
          <w:rFonts w:ascii="Palatino Linotype" w:hAnsi="Palatino Linotype" w:cs="Palatino Linotype"/>
        </w:rPr>
        <w:t>`calificacion.mjs` — modelo de cálculo: escalas, matrices, descuentos, condición mínima y redondeo.</w:t>
      </w:r>
    </w:p>
    <w:p>
      <w:pPr>
        <w:pStyle w:val="ListBullet"/>
        <w:spacing w:after="60"/>
        <w:jc w:val="both"/>
      </w:pPr>
      <w:r>
        <w:rPr>
          <w:b w:val="0"/>
          <w:i w:val="0"/>
          <w:color w:val="1C1F26"/>
          <w:sz w:val="21"/>
          <w:rFonts w:ascii="Palatino Linotype" w:hAnsi="Palatino Linotype" w:cs="Palatino Linotype"/>
        </w:rPr>
        <w:t>`cargar.mjs` — arranque de los módulos.</w:t>
      </w:r>
    </w:p>
    <w:p>
      <w:pPr>
        <w:keepNext/>
        <w:spacing w:before="260" w:after="60"/>
      </w:pPr>
      <w:r>
        <w:rPr>
          <w:b/>
          <w:i w:val="0"/>
          <w:color w:val="1C1F26"/>
          <w:sz w:val="23"/>
          <w:rFonts w:ascii="Palatino Linotype" w:hAnsi="Palatino Linotype" w:cs="Palatino Linotype"/>
        </w:rPr>
        <w:t>Documentación y materiales didácticos</w:t>
      </w:r>
    </w:p>
    <w:p>
      <w:pPr>
        <w:pStyle w:val="ListBullet"/>
        <w:spacing w:after="60"/>
        <w:jc w:val="both"/>
      </w:pPr>
      <w:r>
        <w:rPr>
          <w:b w:val="0"/>
          <w:i w:val="0"/>
          <w:color w:val="1C1F26"/>
          <w:sz w:val="21"/>
          <w:rFonts w:ascii="Palatino Linotype" w:hAnsi="Palatino Linotype" w:cs="Palatino Linotype"/>
        </w:rPr>
        <w:t>`docs/diseno/SDD.md` — documento de diseño de software: modelo de datos, modelo de calificación, catálogo de instrumentos, validador y arquitectura.</w:t>
      </w:r>
    </w:p>
    <w:p>
      <w:pPr>
        <w:pStyle w:val="ListBullet"/>
        <w:spacing w:after="60"/>
        <w:jc w:val="both"/>
      </w:pPr>
      <w:r>
        <w:rPr>
          <w:b w:val="0"/>
          <w:i w:val="0"/>
          <w:color w:val="1C1F26"/>
          <w:sz w:val="21"/>
          <w:rFonts w:ascii="Palatino Linotype" w:hAnsi="Palatino Linotype" w:cs="Palatino Linotype"/>
        </w:rPr>
        <w:t>`docs/diseno/SDD-cambios.md` — registro razonado de todas las decisiones de diseño, con su versión.</w:t>
      </w:r>
    </w:p>
    <w:p>
      <w:pPr>
        <w:pStyle w:val="ListBullet"/>
        <w:spacing w:after="60"/>
        <w:jc w:val="both"/>
      </w:pPr>
      <w:r>
        <w:rPr>
          <w:b w:val="0"/>
          <w:i w:val="0"/>
          <w:color w:val="1C1F26"/>
          <w:sz w:val="21"/>
          <w:rFonts w:ascii="Palatino Linotype" w:hAnsi="Palatino Linotype" w:cs="Palatino Linotype"/>
        </w:rPr>
        <w:t>`docs/diseno/por-que-estas-reglas.md` — el motivo de cada regla no negociable.</w:t>
      </w:r>
    </w:p>
    <w:p>
      <w:pPr>
        <w:pStyle w:val="ListBullet"/>
        <w:spacing w:after="60"/>
        <w:jc w:val="both"/>
      </w:pPr>
      <w:r>
        <w:rPr>
          <w:b w:val="0"/>
          <w:i w:val="0"/>
          <w:color w:val="1C1F26"/>
          <w:sz w:val="21"/>
          <w:rFonts w:ascii="Palatino Linotype" w:hAnsi="Palatino Linotype" w:cs="Palatino Linotype"/>
        </w:rPr>
        <w:t>`docs/diseno/anadir-una-materia.md` — protocolo para dar de alta una asignatura sin tocar código.</w:t>
      </w:r>
    </w:p>
    <w:p>
      <w:pPr>
        <w:pStyle w:val="ListBullet"/>
        <w:spacing w:after="60"/>
        <w:jc w:val="both"/>
      </w:pPr>
      <w:r>
        <w:rPr>
          <w:b w:val="0"/>
          <w:i w:val="0"/>
          <w:color w:val="1C1F26"/>
          <w:sz w:val="21"/>
          <w:rFonts w:ascii="Palatino Linotype" w:hAnsi="Palatino Linotype" w:cs="Palatino Linotype"/>
        </w:rPr>
        <w:t>`docs/diseno/enlace-proyecto-lengua.md` y `docs/marco/` — reparto de hechos con los proyectos afines del autor y matrices de referencia.</w:t>
      </w:r>
    </w:p>
    <w:p>
      <w:pPr>
        <w:pStyle w:val="ListBullet"/>
        <w:spacing w:after="60"/>
        <w:jc w:val="both"/>
      </w:pPr>
      <w:r>
        <w:rPr>
          <w:b w:val="0"/>
          <w:i w:val="0"/>
          <w:color w:val="1C1F26"/>
          <w:sz w:val="21"/>
          <w:rFonts w:ascii="Palatino Linotype" w:hAnsi="Palatino Linotype" w:cs="Palatino Linotype"/>
        </w:rPr>
        <w:t>`docs/Taller-de-Rubricas_Guia-para-empezar.docx` — guía del profesorado (generada).</w:t>
      </w:r>
    </w:p>
    <w:p>
      <w:pPr>
        <w:pStyle w:val="ListBullet"/>
        <w:spacing w:after="60"/>
        <w:jc w:val="both"/>
      </w:pPr>
      <w:r>
        <w:rPr>
          <w:b w:val="0"/>
          <w:i w:val="0"/>
          <w:color w:val="1C1F26"/>
          <w:sz w:val="21"/>
          <w:rFonts w:ascii="Palatino Linotype" w:hAnsi="Palatino Linotype" w:cs="Palatino Linotype"/>
        </w:rPr>
        <w:t>`docs/revision-lcl-*.md` — un documento de revisión por tipo de tarea (generados).</w:t>
      </w:r>
    </w:p>
    <w:p>
      <w:pPr>
        <w:pStyle w:val="ListBullet"/>
        <w:spacing w:after="60"/>
        <w:jc w:val="both"/>
      </w:pPr>
      <w:r>
        <w:rPr>
          <w:b w:val="0"/>
          <w:i w:val="0"/>
          <w:color w:val="1C1F26"/>
          <w:sz w:val="21"/>
          <w:rFonts w:ascii="Palatino Linotype" w:hAnsi="Palatino Linotype" w:cs="Palatino Linotype"/>
        </w:rPr>
        <w:t>`fuentes/curriculo/` y `fuentes/pau/` — currículo oficial y documentos normativos de contraste, material de terceros excluido de la inscripción (§7.3).</w:t>
      </w:r>
    </w:p>
    <w:p>
      <w:pPr>
        <w:pStyle w:val="ListBullet"/>
        <w:spacing w:after="60"/>
        <w:jc w:val="both"/>
      </w:pPr>
      <w:r>
        <w:rPr>
          <w:b w:val="0"/>
          <w:i w:val="0"/>
          <w:color w:val="1C1F26"/>
          <w:sz w:val="21"/>
          <w:rFonts w:ascii="Palatino Linotype" w:hAnsi="Palatino Linotype" w:cs="Palatino Linotype"/>
        </w:rPr>
        <w:t>`CLAUDE.md` y `README.md` — reglas no negociables del proyecto y guía del repositorio.</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4A4F5A"/>
        <w:sz w:val="17"/>
        <w:rFonts w:ascii="Palatino Linotype" w:hAnsi="Palatino Linotype" w:cs="Palatino Linotype"/>
      </w:rPr>
      <w:t xml:space="preserve">— </w:t>
    </w:r>
    <w:r>
      <w:rPr>
        <w:b w:val="0"/>
        <w:i w:val="0"/>
        <w:color w:val="4A4F5A"/>
        <w:sz w:val="17"/>
        <w:rFonts w:ascii="Palatino Linotype" w:hAnsi="Palatino Linotype" w:cs="Palatino Linotype"/>
      </w:rPr>
      <w:fldChar w:fldCharType="begin"/>
    </w:r>
    <w:r>
      <w:rPr>
        <w:b w:val="0"/>
        <w:i w:val="0"/>
        <w:color w:val="4A4F5A"/>
        <w:sz w:val="17"/>
        <w:rFonts w:ascii="Palatino Linotype" w:hAnsi="Palatino Linotype" w:cs="Palatino Linotype"/>
      </w:rPr>
      <w:instrText xml:space="preserve"> PAGE </w:instrText>
    </w:r>
    <w:r>
      <w:rPr>
        <w:b w:val="0"/>
        <w:i w:val="0"/>
        <w:color w:val="4A4F5A"/>
        <w:sz w:val="17"/>
        <w:rFonts w:ascii="Palatino Linotype" w:hAnsi="Palatino Linotype" w:cs="Palatino Linotype"/>
      </w:rPr>
      <w:fldChar w:fldCharType="end"/>
    </w:r>
    <w:r>
      <w:rPr>
        <w:b w:val="0"/>
        <w:i w:val="0"/>
        <w:color w:val="4A4F5A"/>
        <w:sz w:val="17"/>
        <w:rFonts w:ascii="Palatino Linotype" w:hAnsi="Palatino Linotype" w:cs="Palatino Linotype"/>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i/>
        <w:color w:val="4A4F5A"/>
        <w:sz w:val="16"/>
        <w:rFonts w:ascii="Palatino Linotype" w:hAnsi="Palatino Linotype" w:cs="Palatino Linotype"/>
      </w:rPr>
      <w:t>Taller de Rúbricas · Memoria técnica y descriptiva · Registro de la Propiedad Intelectual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Palatino Linotype" w:hAnsi="Palatino Linotype" w:cs="Palatino Linotype"/>
      <w:color w:val="1C1F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