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44"/>
          <w:szCs w:val="44"/>
        </w:rPr>
        <w:t xml:space="preserve">Habla como un experto en rúbricas</w:t>
      </w:r>
    </w:p>
    <w:p>
      <w:pPr>
        <w:spacing w:after="40"/>
      </w:pPr>
      <w:r>
        <w:rPr>
          <w:rFonts w:ascii="Calibri" w:cs="Calibri" w:eastAsia="Calibri" w:hAnsi="Calibri"/>
          <w:color w:val="595959"/>
          <w:sz w:val="24"/>
          <w:szCs w:val="24"/>
        </w:rPr>
        <w:t xml:space="preserve">La terminología y los procesos de la evaluación por competencias</w:t>
      </w:r>
    </w:p>
    <w:p>
      <w:pPr>
        <w:spacing w:after="260"/>
      </w:pPr>
      <w:r>
        <w:rPr>
          <w:rFonts w:ascii="Calibri" w:cs="Calibri" w:eastAsia="Calibri" w:hAnsi="Calibri"/>
          <w:i/>
          <w:iCs/>
          <w:color w:val="595959"/>
          <w:sz w:val="20"/>
          <w:szCs w:val="20"/>
        </w:rPr>
        <w:t xml:space="preserve">LOMLOE · RD 243/2022 (Bachillerato) · RD 217/2022 (ESO)</w:t>
      </w:r>
    </w:p>
    <w:p>
      <w:pPr>
        <w:pBdr>
          <w:bottom w:val="single" w:color="D9D9D9" w:sz="6" w:space="8"/>
        </w:pBdr>
        <w:spacing w:after="200"/>
      </w:pPr>
    </w:p>
    <w:tbl>
      <w:tblPr>
        <w:tblW w:type="dxa" w:w="9026"/>
        <w:tblBorders>
          <w:top w:val="none"/>
          <w:left w:val="single" w:color="1F4E79" w:sz="18"/>
          <w:bottom w:val="none"/>
          <w:right w:val="none"/>
          <w:insideH w:val="none"/>
          <w:insideV w:val="none"/>
        </w:tblBorders>
      </w:tblPr>
      <w:tblGrid>
        <w:gridCol w:w="9026"/>
      </w:tblGrid>
      <w:tr>
        <w:tc>
          <w:tcPr>
            <w:tcW w:type="dxa" w:w="9026"/>
            <w:shd w:fill="F7F7F5" w:color="auto" w:val="clear"/>
            <w:tcMar>
              <w:top w:type="dxa" w:w="150"/>
              <w:left w:type="dxa" w:w="220"/>
              <w:bottom w:type="dxa" w:w="150"/>
              <w:right w:type="dxa" w:w="180"/>
            </w:tcMar>
          </w:tcPr>
          <w:p>
            <w:pPr>
              <w:spacing w:after="70"/>
            </w:pPr>
            <w:r>
              <w:rPr>
                <w:rFonts w:ascii="Calibri" w:cs="Calibri" w:eastAsia="Calibri" w:hAnsi="Calibri"/>
                <w:b/>
                <w:bCs/>
                <w:color w:val="1F4E79"/>
                <w:sz w:val="22"/>
                <w:szCs w:val="22"/>
              </w:rPr>
              <w:t xml:space="preserve">Para qué sirve este documento</w:t>
            </w:r>
          </w:p>
          <w:p>
            <w:pPr>
              <w:spacing w:after="0" w:line="300"/>
            </w:pPr>
            <w:r>
              <w:rPr>
                <w:rFonts w:ascii="Calibri" w:cs="Calibri" w:eastAsia="Calibri" w:hAnsi="Calibri"/>
                <w:sz w:val="22"/>
                <w:szCs w:val="22"/>
              </w:rPr>
              <w:t xml:space="preserve">No es un manual de 200 páginas. Es lo que necesitas dominar para diseñar una rúbrica con criterio, defenderla ante una reclamación y no quedarte en blanco cuando alguien te pregunte por qué has puesto cuatro niveles y no tres. Léelo una vez entero y consúltalo luego como quien consulta un mapa: hay un glosario al final para eso.</w:t>
            </w:r>
          </w:p>
        </w:tc>
      </w:tr>
    </w:tbl>
    <w:p>
      <w:pPr>
        <w:spacing w:after="280"/>
      </w:pPr>
    </w:p>
    <w:p>
      <w:pPr>
        <w:pStyle w:val="Heading1"/>
        <w:spacing w:after="160" w:before="420"/>
      </w:pPr>
      <w:r>
        <w:rPr>
          <w:rFonts w:ascii="Calibri" w:cs="Calibri" w:eastAsia="Calibri" w:hAnsi="Calibri"/>
          <w:b/>
          <w:bCs/>
          <w:color w:val="1F4E79"/>
          <w:sz w:val="30"/>
          <w:szCs w:val="30"/>
        </w:rPr>
        <w:t xml:space="preserve">1. La cadena que no se puede romper</w:t>
      </w:r>
    </w:p>
    <w:p>
      <w:pPr>
        <w:spacing w:after="140" w:line="300"/>
      </w:pPr>
      <w:r>
        <w:rPr>
          <w:rFonts w:ascii="Calibri" w:cs="Calibri" w:eastAsia="Calibri" w:hAnsi="Calibri"/>
          <w:sz w:val="22"/>
          <w:szCs w:val="22"/>
        </w:rPr>
        <w:t xml:space="preserve">Todo empieza aquí, y si esto se entiende bien, el resto es coser y cantar. La LOMLOE no evalúa lo que el alumno sabe, sino lo que el alumno hace con lo que sabe ante una situación real. Eso tiene un nombre — enfoque competencial — y una cadena de mando muy concreta que toda rúbrica debe respetar de arriba abajo:</w:t>
      </w:r>
    </w:p>
    <w:p>
      <w:pPr>
        <w:spacing w:after="80"/>
      </w:pPr>
    </w:p>
    <w:tbl>
      <w:tblPr>
        <w:tblW w:type="dxa" w:w="9026"/>
        <w:tblBorders>
          <w:top w:val="none"/>
          <w:left w:val="single" w:color="1F4E79" w:sz="18"/>
          <w:bottom w:val="none"/>
          <w:right w:val="none"/>
          <w:insideH w:val="none"/>
          <w:insideV w:val="none"/>
        </w:tblBorders>
      </w:tblPr>
      <w:tblGrid>
        <w:gridCol w:w="9026"/>
      </w:tblGrid>
      <w:tr>
        <w:tc>
          <w:tcPr>
            <w:tcW w:type="dxa" w:w="9026"/>
            <w:shd w:fill="F7F7F5" w:color="auto" w:val="clear"/>
            <w:tcMar>
              <w:top w:type="dxa" w:w="150"/>
              <w:left w:type="dxa" w:w="220"/>
              <w:bottom w:type="dxa" w:w="150"/>
              <w:right w:type="dxa" w:w="180"/>
            </w:tcMar>
          </w:tcPr>
          <w:p>
            <w:pPr>
              <w:spacing w:after="70"/>
            </w:pPr>
            <w:r>
              <w:rPr>
                <w:rFonts w:ascii="Calibri" w:cs="Calibri" w:eastAsia="Calibri" w:hAnsi="Calibri"/>
                <w:b/>
                <w:bCs/>
                <w:color w:val="1F4E79"/>
                <w:sz w:val="22"/>
                <w:szCs w:val="22"/>
              </w:rPr>
              <w:t xml:space="preserve">La jerarquía curricular</w:t>
            </w:r>
          </w:p>
          <w:p>
            <w:pPr>
              <w:spacing w:after="0" w:line="300"/>
            </w:pPr>
            <w:r>
              <w:rPr>
                <w:rFonts w:ascii="Calibri" w:cs="Calibri" w:eastAsia="Calibri" w:hAnsi="Calibri"/>
                <w:sz w:val="22"/>
                <w:szCs w:val="22"/>
              </w:rPr>
              <w:t xml:space="preserve">Perfil de salida  →  Competencias clave  →  Competencias específicas  →  Criterios de evaluación  →  Saberes básicos  →  RÚBRICA</w:t>
            </w:r>
          </w:p>
        </w:tc>
      </w:tr>
    </w:tbl>
    <w:p>
      <w:pPr>
        <w:spacing w:after="120"/>
      </w:pPr>
    </w:p>
    <w:p>
      <w:pPr>
        <w:spacing w:after="140" w:line="300"/>
      </w:pPr>
      <w:r>
        <w:rPr>
          <w:rFonts w:ascii="Calibri" w:cs="Calibri" w:eastAsia="Calibri" w:hAnsi="Calibri"/>
          <w:sz w:val="22"/>
          <w:szCs w:val="22"/>
        </w:rPr>
        <w:t xml:space="preserve">De toda esta cadena, hay un eslabón que manda sobre los demás: el criterio de evaluación.</w:t>
      </w:r>
    </w:p>
    <w:tbl>
      <w:tblPr>
        <w:tblW w:type="dxa" w:w="9026"/>
        <w:tblBorders>
          <w:top w:val="none"/>
          <w:left w:val="single" w:color="8C3B2E" w:sz="18"/>
          <w:bottom w:val="none"/>
          <w:right w:val="none"/>
          <w:insideH w:val="none"/>
          <w:insideV w:val="none"/>
        </w:tblBorders>
      </w:tblPr>
      <w:tblGrid>
        <w:gridCol w:w="9026"/>
      </w:tblGrid>
      <w:tr>
        <w:tc>
          <w:tcPr>
            <w:tcW w:type="dxa" w:w="9026"/>
            <w:shd w:fill="F7F7F5" w:color="auto" w:val="clear"/>
            <w:tcMar>
              <w:top w:type="dxa" w:w="150"/>
              <w:left w:type="dxa" w:w="220"/>
              <w:bottom w:type="dxa" w:w="150"/>
              <w:right w:type="dxa" w:w="180"/>
            </w:tcMar>
          </w:tcPr>
          <w:p>
            <w:pPr>
              <w:spacing w:after="70"/>
            </w:pPr>
            <w:r>
              <w:rPr>
                <w:rFonts w:ascii="Calibri" w:cs="Calibri" w:eastAsia="Calibri" w:hAnsi="Calibri"/>
                <w:b/>
                <w:bCs/>
                <w:color w:val="8C3B2E"/>
                <w:sz w:val="22"/>
                <w:szCs w:val="22"/>
              </w:rPr>
              <w:t xml:space="preserve">Criterio de evaluación</w:t>
            </w:r>
          </w:p>
          <w:p>
            <w:pPr>
              <w:spacing w:after="0" w:line="300"/>
            </w:pPr>
            <w:r>
              <w:rPr>
                <w:rFonts w:ascii="Calibri" w:cs="Calibri" w:eastAsia="Calibri" w:hAnsi="Calibri"/>
                <w:sz w:val="22"/>
                <w:szCs w:val="22"/>
              </w:rPr>
              <w:t xml:space="preserve">Es el único elemento con valor legal para calificar (RD 243/2022, art. 12). Cada materia tiene los suyos, redactados curso a curso. Una rúbrica que no pueda señalar con el dedo un criterio oficial detrás de cada fila no es una rúbrica: es una opinión del profesor con formato de tabla.</w:t>
            </w:r>
          </w:p>
        </w:tc>
      </w:tr>
    </w:tbl>
    <w:p>
      <w:pPr>
        <w:spacing w:after="140"/>
      </w:pPr>
    </w:p>
    <w:p>
      <w:pPr>
        <w:spacing w:after="140" w:line="300"/>
      </w:pPr>
      <w:r>
        <w:rPr>
          <w:rFonts w:ascii="Calibri" w:cs="Calibri" w:eastAsia="Calibri" w:hAnsi="Calibri"/>
          <w:sz w:val="22"/>
          <w:szCs w:val="22"/>
        </w:rPr>
        <w:t xml:space="preserve">Y aquí viene la frase que conviene tener siempre a mano cuando alguien pregunte de dónde sale una rúbrica:</w:t>
      </w:r>
    </w:p>
    <w:tbl>
      <w:tblPr>
        <w:tblW w:type="dxa" w:w="9026"/>
        <w:tblBorders>
          <w:top w:val="none"/>
          <w:left w:val="single" w:color="8A6D1A" w:sz="18"/>
          <w:bottom w:val="none"/>
          <w:right w:val="none"/>
          <w:insideH w:val="none"/>
          <w:insideV w:val="none"/>
        </w:tblBorders>
      </w:tblPr>
      <w:tblGrid>
        <w:gridCol w:w="9026"/>
      </w:tblGrid>
      <w:tr>
        <w:tc>
          <w:tcPr>
            <w:tcW w:type="dxa" w:w="9026"/>
            <w:shd w:fill="F7F7F5" w:color="auto" w:val="clear"/>
            <w:tcMar>
              <w:top w:type="dxa" w:w="150"/>
              <w:left w:type="dxa" w:w="220"/>
              <w:bottom w:type="dxa" w:w="150"/>
              <w:right w:type="dxa" w:w="180"/>
            </w:tcMar>
          </w:tcPr>
          <w:p>
            <w:pPr>
              <w:spacing w:after="70"/>
            </w:pPr>
            <w:r>
              <w:rPr>
                <w:rFonts w:ascii="Calibri" w:cs="Calibri" w:eastAsia="Calibri" w:hAnsi="Calibri"/>
                <w:b/>
                <w:bCs/>
                <w:color w:val="8A6D1A"/>
                <w:sz w:val="22"/>
                <w:szCs w:val="22"/>
              </w:rPr>
              <w:t xml:space="preserve">La regla de oro</w:t>
            </w:r>
          </w:p>
          <w:p>
            <w:pPr>
              <w:spacing w:after="0" w:line="300"/>
            </w:pPr>
            <w:r>
              <w:rPr>
                <w:rFonts w:ascii="Calibri" w:cs="Calibri" w:eastAsia="Calibri" w:hAnsi="Calibri"/>
                <w:sz w:val="22"/>
                <w:szCs w:val="22"/>
              </w:rPr>
              <w:t xml:space="preserve">Las rúbricas no se inventan: se derivan. Toda fila debe poder localizarse en el BOE o en el boletín autonómico correspondiente como un criterio de evaluación, o como su desglose en indicadores operativos.</w:t>
            </w:r>
          </w:p>
        </w:tc>
      </w:tr>
    </w:tbl>
    <w:p>
      <w:pPr>
        <w:spacing w:after="220"/>
      </w:pPr>
    </w:p>
    <w:p>
      <w:pPr>
        <w:pStyle w:val="Heading1"/>
        <w:spacing w:after="160" w:before="420"/>
      </w:pPr>
      <w:r>
        <w:rPr>
          <w:rFonts w:ascii="Calibri" w:cs="Calibri" w:eastAsia="Calibri" w:hAnsi="Calibri"/>
          <w:b/>
          <w:bCs/>
          <w:color w:val="1F4E79"/>
          <w:sz w:val="30"/>
          <w:szCs w:val="30"/>
        </w:rPr>
        <w:t xml:space="preserve">2. La anatomía de una rúbrica</w:t>
      </w:r>
    </w:p>
    <w:p>
      <w:pPr>
        <w:spacing w:after="140" w:line="300"/>
      </w:pPr>
      <w:r>
        <w:rPr>
          <w:rFonts w:ascii="Calibri" w:cs="Calibri" w:eastAsia="Calibri" w:hAnsi="Calibri"/>
          <w:sz w:val="22"/>
          <w:szCs w:val="22"/>
        </w:rPr>
        <w:t xml:space="preserve">Tres piezas, siempre las mismas, aunque cambien el nombre según a quién se lo preguntes:</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426"/>
      </w:tblGrid>
      <w:tr>
        <w:trPr>
          <w:tblHeader/>
        </w:trPr>
        <w:tc>
          <w:tcPr>
            <w:tcW w:type="dxa" w:w="1800"/>
            <w:shd w:fill="8C3B2E" w:color="auto" w:val="clear"/>
            <w:tcMar>
              <w:top w:type="dxa" w:w="90"/>
              <w:left w:type="dxa" w:w="120"/>
              <w:bottom w:type="dxa" w:w="90"/>
              <w:right w:type="dxa" w:w="120"/>
            </w:tcMar>
          </w:tcPr>
          <w:p>
            <w:pPr>
              <w:spacing w:after="0" w:line="280"/>
            </w:pPr>
            <w:r>
              <w:rPr>
                <w:rFonts w:ascii="Calibri" w:cs="Calibri" w:eastAsia="Calibri" w:hAnsi="Calibri"/>
                <w:b/>
                <w:bCs/>
                <w:color w:val="FFFFFF"/>
                <w:sz w:val="20"/>
                <w:szCs w:val="20"/>
              </w:rPr>
              <w:t xml:space="preserve">Pieza</w:t>
            </w:r>
          </w:p>
        </w:tc>
        <w:tc>
          <w:tcPr>
            <w:tcW w:type="dxa" w:w="2800"/>
            <w:shd w:fill="8C3B2E" w:color="auto" w:val="clear"/>
            <w:tcMar>
              <w:top w:type="dxa" w:w="90"/>
              <w:left w:type="dxa" w:w="120"/>
              <w:bottom w:type="dxa" w:w="90"/>
              <w:right w:type="dxa" w:w="120"/>
            </w:tcMar>
          </w:tcPr>
          <w:p>
            <w:pPr>
              <w:spacing w:after="0" w:line="280"/>
            </w:pPr>
            <w:r>
              <w:rPr>
                <w:rFonts w:ascii="Calibri" w:cs="Calibri" w:eastAsia="Calibri" w:hAnsi="Calibri"/>
                <w:b/>
                <w:bCs/>
                <w:color w:val="FFFFFF"/>
                <w:sz w:val="20"/>
                <w:szCs w:val="20"/>
              </w:rPr>
              <w:t xml:space="preserve">Nombre técnico</w:t>
            </w:r>
          </w:p>
        </w:tc>
        <w:tc>
          <w:tcPr>
            <w:tcW w:type="dxa" w:w="4426"/>
            <w:shd w:fill="8C3B2E" w:color="auto" w:val="clear"/>
            <w:tcMar>
              <w:top w:type="dxa" w:w="90"/>
              <w:left w:type="dxa" w:w="120"/>
              <w:bottom w:type="dxa" w:w="90"/>
              <w:right w:type="dxa" w:w="120"/>
            </w:tcMar>
          </w:tcPr>
          <w:p>
            <w:pPr>
              <w:spacing w:after="0" w:line="280"/>
            </w:pPr>
            <w:r>
              <w:rPr>
                <w:rFonts w:ascii="Calibri" w:cs="Calibri" w:eastAsia="Calibri" w:hAnsi="Calibri"/>
                <w:b/>
                <w:bCs/>
                <w:color w:val="FFFFFF"/>
                <w:sz w:val="20"/>
                <w:szCs w:val="20"/>
              </w:rPr>
              <w:t xml:space="preserve">Qué es en realidad</w:t>
            </w:r>
          </w:p>
        </w:tc>
      </w:tr>
      <w:tr>
        <w:trPr>
          <w:tblHeader w:val="false"/>
        </w:trPr>
        <w:tc>
          <w:tcPr>
            <w:tcW w:type="dxa" w:w="1800"/>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Filas</w:t>
            </w:r>
          </w:p>
        </w:tc>
        <w:tc>
          <w:tcPr>
            <w:tcW w:type="dxa" w:w="2800"/>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Dimensiones o indicadores</w:t>
            </w:r>
          </w:p>
        </w:tc>
        <w:tc>
          <w:tcPr>
            <w:tcW w:type="dxa" w:w="4426"/>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Los criterios de evaluación desglosados en acciones observables</w:t>
            </w:r>
          </w:p>
        </w:tc>
      </w:tr>
      <w:tr>
        <w:trPr>
          <w:tblHeader w:val="false"/>
        </w:trPr>
        <w:tc>
          <w:tcPr>
            <w:tcW w:type="dxa" w:w="1800"/>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Columnas</w:t>
            </w:r>
          </w:p>
        </w:tc>
        <w:tc>
          <w:tcPr>
            <w:tcW w:type="dxa" w:w="2800"/>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Niveles de logro</w:t>
            </w:r>
          </w:p>
        </w:tc>
        <w:tc>
          <w:tcPr>
            <w:tcW w:type="dxa" w:w="4426"/>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La gradación del desempeño. Cuatro, casi siempre</w:t>
            </w:r>
          </w:p>
        </w:tc>
      </w:tr>
      <w:tr>
        <w:trPr>
          <w:tblHeader w:val="false"/>
        </w:trPr>
        <w:tc>
          <w:tcPr>
            <w:tcW w:type="dxa" w:w="1800"/>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Celdas</w:t>
            </w:r>
          </w:p>
        </w:tc>
        <w:tc>
          <w:tcPr>
            <w:tcW w:type="dxa" w:w="2800"/>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Descriptores</w:t>
            </w:r>
          </w:p>
        </w:tc>
        <w:tc>
          <w:tcPr>
            <w:tcW w:type="dxa" w:w="4426"/>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El texto que dice, sin ambigüedad, qué hay que ver para marcar esa casilla</w:t>
            </w:r>
          </w:p>
        </w:tc>
      </w:tr>
    </w:tbl>
    <w:p>
      <w:pPr>
        <w:spacing w:after="160"/>
      </w:pPr>
    </w:p>
    <w:p>
      <w:pPr>
        <w:spacing w:after="140" w:line="300"/>
      </w:pPr>
      <w:r>
        <w:rPr>
          <w:rFonts w:ascii="Calibri" w:cs="Calibri" w:eastAsia="Calibri" w:hAnsi="Calibri"/>
          <w:sz w:val="22"/>
          <w:szCs w:val="22"/>
        </w:rPr>
        <w:t xml:space="preserve">Hay una cuarta pieza que mucha gente coloca mal: el saber básico, es decir, el contenido de toda la vida (la gramática, la época literaria, el tipo de texto). </w:t>
      </w:r>
    </w:p>
    <w:tbl>
      <w:tblPr>
        <w:tblW w:type="dxa" w:w="9026"/>
        <w:tblBorders>
          <w:top w:val="none"/>
          <w:left w:val="single" w:color="1F4E79" w:sz="18"/>
          <w:bottom w:val="none"/>
          <w:right w:val="none"/>
          <w:insideH w:val="none"/>
          <w:insideV w:val="none"/>
        </w:tblBorders>
      </w:tblPr>
      <w:tblGrid>
        <w:gridCol w:w="9026"/>
      </w:tblGrid>
      <w:tr>
        <w:tc>
          <w:tcPr>
            <w:tcW w:type="dxa" w:w="9026"/>
            <w:shd w:fill="F7F7F5" w:color="auto" w:val="clear"/>
            <w:tcMar>
              <w:top w:type="dxa" w:w="150"/>
              <w:left w:type="dxa" w:w="220"/>
              <w:bottom w:type="dxa" w:w="150"/>
              <w:right w:type="dxa" w:w="180"/>
            </w:tcMar>
          </w:tcPr>
          <w:p>
            <w:pPr>
              <w:spacing w:after="70"/>
            </w:pPr>
            <w:r>
              <w:rPr>
                <w:rFonts w:ascii="Calibri" w:cs="Calibri" w:eastAsia="Calibri" w:hAnsi="Calibri"/>
                <w:b/>
                <w:bCs/>
                <w:color w:val="1F4E79"/>
                <w:sz w:val="22"/>
                <w:szCs w:val="22"/>
              </w:rPr>
              <w:t xml:space="preserve">El principio del vehículo</w:t>
            </w:r>
          </w:p>
          <w:p>
            <w:pPr>
              <w:spacing w:after="0" w:line="300"/>
            </w:pPr>
            <w:r>
              <w:rPr>
                <w:rFonts w:ascii="Calibri" w:cs="Calibri" w:eastAsia="Calibri" w:hAnsi="Calibri"/>
                <w:sz w:val="22"/>
                <w:szCs w:val="22"/>
              </w:rPr>
              <w:t xml:space="preserve">El saber básico no abre fila propia. Es el contexto sobre el que se demuestra la competencia, nunca el objeto de la evaluación en sí mismo.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shd w:fill="FBEAEA" w:color="auto" w:val="clear"/>
            <w:tcMar>
              <w:top w:type="dxa" w:w="100"/>
              <w:left w:type="dxa" w:w="150"/>
              <w:bottom w:type="dxa" w:w="100"/>
              <w:right w:type="dxa" w:w="150"/>
            </w:tcMar>
          </w:tcPr>
          <w:p>
            <w:pPr>
              <w:spacing w:after="40"/>
            </w:pPr>
            <w:r>
              <w:rPr>
                <w:rFonts w:ascii="Calibri" w:cs="Calibri" w:eastAsia="Calibri" w:hAnsi="Calibri"/>
                <w:b/>
                <w:bCs/>
                <w:color w:val="9B3B3B"/>
                <w:sz w:val="19"/>
                <w:szCs w:val="19"/>
              </w:rPr>
              <w:t xml:space="preserve">❌ Así no</w:t>
            </w:r>
          </w:p>
          <w:p>
            <w:pPr>
              <w:spacing w:after="0" w:line="280"/>
            </w:pPr>
            <w:r>
              <w:rPr>
                <w:rFonts w:ascii="Calibri" w:cs="Calibri" w:eastAsia="Calibri" w:hAnsi="Calibri"/>
                <w:i/>
                <w:iCs/>
                <w:sz w:val="20"/>
                <w:szCs w:val="20"/>
              </w:rPr>
              <w:t xml:space="preserve">Clasifica correctamente las oraciones subordinadas.</w:t>
            </w:r>
          </w:p>
        </w:tc>
        <w:tc>
          <w:tcPr>
            <w:tcW w:type="dxa" w:w="4513"/>
            <w:shd w:fill="EAF3EC" w:color="auto" w:val="clear"/>
            <w:tcMar>
              <w:top w:type="dxa" w:w="100"/>
              <w:left w:type="dxa" w:w="150"/>
              <w:bottom w:type="dxa" w:w="100"/>
              <w:right w:type="dxa" w:w="150"/>
            </w:tcMar>
          </w:tcPr>
          <w:p>
            <w:pPr>
              <w:spacing w:after="40"/>
            </w:pPr>
            <w:r>
              <w:rPr>
                <w:rFonts w:ascii="Calibri" w:cs="Calibri" w:eastAsia="Calibri" w:hAnsi="Calibri"/>
                <w:b/>
                <w:bCs/>
                <w:color w:val="2E6B4F"/>
                <w:sz w:val="19"/>
                <w:szCs w:val="19"/>
              </w:rPr>
              <w:t xml:space="preserve">✅ Así sí</w:t>
            </w:r>
          </w:p>
          <w:p>
            <w:pPr>
              <w:spacing w:after="0" w:line="280"/>
            </w:pPr>
            <w:r>
              <w:rPr>
                <w:rFonts w:ascii="Calibri" w:cs="Calibri" w:eastAsia="Calibri" w:hAnsi="Calibri"/>
                <w:sz w:val="20"/>
                <w:szCs w:val="20"/>
              </w:rPr>
              <w:t xml:space="preserve">Utiliza oraciones subordinadas para cohesionar sus argumentos de manera fluida.</w:t>
            </w:r>
          </w:p>
        </w:tc>
      </w:tr>
    </w:tbl>
    <w:p>
      <w:pPr>
        <w:spacing w:after="140" w:line="300"/>
      </w:pPr>
      <w:r>
        <w:rPr>
          <w:rFonts w:ascii="Calibri" w:cs="Calibri" w:eastAsia="Calibri" w:hAnsi="Calibri"/>
          <w:i/>
          <w:iCs/>
          <w:color w:val="595959"/>
          <w:sz w:val="20"/>
          <w:szCs w:val="20"/>
        </w:rPr>
        <w:t xml:space="preserve">En el segundo caso, la subordinación sigue estando presente — es el saber-vehículo — pero lo que se evalúa es la competencia comunicativa que se demuestra usándola.</w:t>
      </w:r>
    </w:p>
    <w:p>
      <w:pPr>
        <w:spacing w:after="220"/>
      </w:pPr>
    </w:p>
    <w:p>
      <w:pPr>
        <w:pStyle w:val="Heading1"/>
        <w:spacing w:after="160" w:before="420"/>
      </w:pPr>
      <w:r>
        <w:rPr>
          <w:rFonts w:ascii="Calibri" w:cs="Calibri" w:eastAsia="Calibri" w:hAnsi="Calibri"/>
          <w:b/>
          <w:bCs/>
          <w:color w:val="1F4E79"/>
          <w:sz w:val="30"/>
          <w:szCs w:val="30"/>
        </w:rPr>
        <w:t xml:space="preserve">3. La enfermedad que hay que erradicar: la «adverbitis»</w:t>
      </w:r>
    </w:p>
    <w:p>
      <w:pPr>
        <w:spacing w:after="140" w:line="300"/>
      </w:pPr>
      <w:r>
        <w:rPr>
          <w:rFonts w:ascii="Calibri" w:cs="Calibri" w:eastAsia="Calibri" w:hAnsi="Calibri"/>
          <w:sz w:val="22"/>
          <w:szCs w:val="22"/>
        </w:rPr>
        <w:t xml:space="preserve">El término no es mío, es de Mariana Morales, y se ha quedado porque describe perfectamente el vicio más extendido al redactar una rúbrica: llenar las celdas de adverbios que no dicen nada verificable. «Bien», «adecuadamente», «con bastante frecuencia», «de forma correcta». Frases que dos correctores distintos leerían de dos formas distintas, y eso es justo lo contrario de lo que una rúbrica debe garantizar.</w:t>
      </w:r>
    </w:p>
    <w:tbl>
      <w:tblPr>
        <w:tblW w:type="dxa" w:w="9026"/>
        <w:tblBorders>
          <w:top w:val="none"/>
          <w:left w:val="single" w:color="8C3B2E" w:sz="18"/>
          <w:bottom w:val="none"/>
          <w:right w:val="none"/>
          <w:insideH w:val="none"/>
          <w:insideV w:val="none"/>
        </w:tblBorders>
      </w:tblPr>
      <w:tblGrid>
        <w:gridCol w:w="9026"/>
      </w:tblGrid>
      <w:tr>
        <w:tc>
          <w:tcPr>
            <w:tcW w:type="dxa" w:w="9026"/>
            <w:shd w:fill="F7F7F5" w:color="auto" w:val="clear"/>
            <w:tcMar>
              <w:top w:type="dxa" w:w="150"/>
              <w:left w:type="dxa" w:w="220"/>
              <w:bottom w:type="dxa" w:w="150"/>
              <w:right w:type="dxa" w:w="180"/>
            </w:tcMar>
          </w:tcPr>
          <w:p>
            <w:pPr>
              <w:spacing w:after="70"/>
            </w:pPr>
            <w:r>
              <w:rPr>
                <w:rFonts w:ascii="Calibri" w:cs="Calibri" w:eastAsia="Calibri" w:hAnsi="Calibri"/>
                <w:b/>
                <w:bCs/>
                <w:color w:val="8C3B2E"/>
                <w:sz w:val="22"/>
                <w:szCs w:val="22"/>
              </w:rPr>
              <w:t xml:space="preserve">Fiabilidad</w:t>
            </w:r>
          </w:p>
          <w:p>
            <w:pPr>
              <w:spacing w:after="0" w:line="300"/>
            </w:pPr>
            <w:r>
              <w:rPr>
                <w:rFonts w:ascii="Calibri" w:cs="Calibri" w:eastAsia="Calibri" w:hAnsi="Calibri"/>
                <w:sz w:val="22"/>
                <w:szCs w:val="22"/>
              </w:rPr>
              <w:t xml:space="preserve">Es el grado de acuerdo entre dos correctores distintos que evalúan lo mismo. La adverbitis es la principal enemiga de la fiabilidad: si el descriptor admite interpretación, dos profesores pondrán notas distintas al mismo texto.</w:t>
            </w:r>
          </w:p>
        </w:tc>
      </w:tr>
    </w:tbl>
    <w:p>
      <w:pPr>
        <w:spacing w:after="120"/>
      </w:pPr>
    </w:p>
    <w:p>
      <w:pPr>
        <w:spacing w:after="140" w:line="300"/>
      </w:pPr>
      <w:r>
        <w:rPr>
          <w:rFonts w:ascii="Calibri" w:cs="Calibri" w:eastAsia="Calibri" w:hAnsi="Calibri"/>
          <w:sz w:val="22"/>
          <w:szCs w:val="22"/>
        </w:rPr>
        <w:t xml:space="preserve">La cura tiene una fórmula fija. Apréndetela y no la sueltes:</w:t>
      </w:r>
    </w:p>
    <w:tbl>
      <w:tblPr>
        <w:tblW w:type="dxa" w:w="9026"/>
        <w:tblBorders>
          <w:top w:val="none"/>
          <w:left w:val="single" w:color="2E6B4F" w:sz="18"/>
          <w:bottom w:val="none"/>
          <w:right w:val="none"/>
          <w:insideH w:val="none"/>
          <w:insideV w:val="none"/>
        </w:tblBorders>
      </w:tblPr>
      <w:tblGrid>
        <w:gridCol w:w="9026"/>
      </w:tblGrid>
      <w:tr>
        <w:tc>
          <w:tcPr>
            <w:tcW w:type="dxa" w:w="9026"/>
            <w:shd w:fill="F7F7F5" w:color="auto" w:val="clear"/>
            <w:tcMar>
              <w:top w:type="dxa" w:w="150"/>
              <w:left w:type="dxa" w:w="220"/>
              <w:bottom w:type="dxa" w:w="150"/>
              <w:right w:type="dxa" w:w="180"/>
            </w:tcMar>
          </w:tcPr>
          <w:p>
            <w:pPr>
              <w:spacing w:after="70"/>
            </w:pPr>
            <w:r>
              <w:rPr>
                <w:rFonts w:ascii="Calibri" w:cs="Calibri" w:eastAsia="Calibri" w:hAnsi="Calibri"/>
                <w:b/>
                <w:bCs/>
                <w:color w:val="2E6B4F"/>
                <w:sz w:val="22"/>
                <w:szCs w:val="22"/>
              </w:rPr>
              <w:t xml:space="preserve">Fórmula del descriptor</w:t>
            </w:r>
          </w:p>
          <w:p>
            <w:pPr>
              <w:spacing w:after="0" w:line="300"/>
            </w:pPr>
            <w:r>
              <w:rPr>
                <w:rFonts w:ascii="Calibri" w:cs="Calibri" w:eastAsia="Calibri" w:hAnsi="Calibri"/>
                <w:sz w:val="22"/>
                <w:szCs w:val="22"/>
              </w:rPr>
              <w:t xml:space="preserve">[Verbo observable]  +  [saber-vehículo o contenido]  +  [condición o finalidad comunicativa]</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shd w:fill="FBEAEA" w:color="auto" w:val="clear"/>
            <w:tcMar>
              <w:top w:type="dxa" w:w="100"/>
              <w:left w:type="dxa" w:w="150"/>
              <w:bottom w:type="dxa" w:w="100"/>
              <w:right w:type="dxa" w:w="150"/>
            </w:tcMar>
          </w:tcPr>
          <w:p>
            <w:pPr>
              <w:spacing w:after="40"/>
            </w:pPr>
            <w:r>
              <w:rPr>
                <w:rFonts w:ascii="Calibri" w:cs="Calibri" w:eastAsia="Calibri" w:hAnsi="Calibri"/>
                <w:b/>
                <w:bCs/>
                <w:color w:val="9B3B3B"/>
                <w:sz w:val="19"/>
                <w:szCs w:val="19"/>
              </w:rPr>
              <w:t xml:space="preserve">❌ Así no</w:t>
            </w:r>
          </w:p>
          <w:p>
            <w:pPr>
              <w:spacing w:after="0" w:line="280"/>
            </w:pPr>
            <w:r>
              <w:rPr>
                <w:rFonts w:ascii="Calibri" w:cs="Calibri" w:eastAsia="Calibri" w:hAnsi="Calibri"/>
                <w:i/>
                <w:iCs/>
                <w:sz w:val="20"/>
                <w:szCs w:val="20"/>
              </w:rPr>
              <w:t xml:space="preserve">Escribe textos bien organizados.</w:t>
            </w:r>
          </w:p>
        </w:tc>
        <w:tc>
          <w:tcPr>
            <w:tcW w:type="dxa" w:w="4513"/>
            <w:shd w:fill="EAF3EC" w:color="auto" w:val="clear"/>
            <w:tcMar>
              <w:top w:type="dxa" w:w="100"/>
              <w:left w:type="dxa" w:w="150"/>
              <w:bottom w:type="dxa" w:w="100"/>
              <w:right w:type="dxa" w:w="150"/>
            </w:tcMar>
          </w:tcPr>
          <w:p>
            <w:pPr>
              <w:spacing w:after="40"/>
            </w:pPr>
            <w:r>
              <w:rPr>
                <w:rFonts w:ascii="Calibri" w:cs="Calibri" w:eastAsia="Calibri" w:hAnsi="Calibri"/>
                <w:b/>
                <w:bCs/>
                <w:color w:val="2E6B4F"/>
                <w:sz w:val="19"/>
                <w:szCs w:val="19"/>
              </w:rPr>
              <w:t xml:space="preserve">✅ Así sí</w:t>
            </w:r>
          </w:p>
          <w:p>
            <w:pPr>
              <w:spacing w:after="0" w:line="280"/>
            </w:pPr>
            <w:r>
              <w:rPr>
                <w:rFonts w:ascii="Calibri" w:cs="Calibri" w:eastAsia="Calibri" w:hAnsi="Calibri"/>
                <w:sz w:val="20"/>
                <w:szCs w:val="20"/>
              </w:rPr>
              <w:t xml:space="preserve">Utiliza conectores de oposición y de consecuencia para estructurar los argumentos.</w:t>
            </w:r>
          </w:p>
        </w:tc>
      </w:tr>
    </w:tbl>
    <w:p>
      <w:pPr>
        <w:spacing w:after="80"/>
      </w:pPr>
    </w:p>
    <w:p>
      <w:pPr>
        <w:spacing w:after="60" w:line="300"/>
      </w:pPr>
      <w:r>
        <w:rPr>
          <w:rFonts w:ascii="Calibri" w:cs="Calibri" w:eastAsia="Calibri" w:hAnsi="Calibri"/>
          <w:sz w:val="22"/>
          <w:szCs w:val="22"/>
        </w:rPr>
        <w:t xml:space="preserve">Los verbos no salen de cualquier sitio: proceden de taxonomías cognitivas — Bloom, Marzano — que ordenan las acciones de menos a más exigentes. Localizar es más sencillo que justificar; justificar es más sencillo que enmendar. Esa escala te sirve también para graduar los cuatro niveles de una misma dimensión: el nivel bajo pide localizar, el nivel alto pide justificar o revisar críticamente.</w:t>
      </w:r>
    </w:p>
    <w:p>
      <w:pPr>
        <w:spacing w:after="160"/>
      </w:pPr>
    </w:p>
    <w:p>
      <w:pPr>
        <w:pStyle w:val="Heading1"/>
        <w:spacing w:after="160" w:before="420"/>
      </w:pPr>
      <w:r>
        <w:rPr>
          <w:rFonts w:ascii="Calibri" w:cs="Calibri" w:eastAsia="Calibri" w:hAnsi="Calibri"/>
          <w:b/>
          <w:bCs/>
          <w:color w:val="1F4E79"/>
          <w:sz w:val="30"/>
          <w:szCs w:val="30"/>
        </w:rPr>
        <w:t xml:space="preserve">4. ¿Por qué siempre cuatro niveles?</w:t>
      </w:r>
    </w:p>
    <w:p>
      <w:pPr>
        <w:spacing w:after="140" w:line="300"/>
      </w:pPr>
      <w:r>
        <w:rPr>
          <w:rFonts w:ascii="Calibri" w:cs="Calibri" w:eastAsia="Calibri" w:hAnsi="Calibri"/>
          <w:sz w:val="22"/>
          <w:szCs w:val="22"/>
        </w:rPr>
        <w:t xml:space="preserve">Podrías pensar que da igual poner tres, y no. Con un número impar de niveles aparece lo que se conoce como la tendencia al aprobado central: el corrector que duda se refugia en la casilla del medio, y esa casilla, con tres niveles, es casi siempre un aprobado cómodo que no compromete a nadie.</w:t>
      </w:r>
    </w:p>
    <w:p>
      <w:pPr>
        <w:spacing w:after="140" w:line="300"/>
      </w:pPr>
      <w:r>
        <w:rPr>
          <w:rFonts w:ascii="Calibri" w:cs="Calibri" w:eastAsia="Calibri" w:hAnsi="Calibri"/>
          <w:sz w:val="22"/>
          <w:szCs w:val="22"/>
        </w:rPr>
        <w:t xml:space="preserve">Con cuatro niveles no hay refugio posible. El corrector tiene que decidir si el desempeño está por debajo o por encima del punto medio, y esa decisión sí aporta información.</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8C3B2E" w:color="auto" w:val="clear"/>
            <w:tcMar>
              <w:top w:type="dxa" w:w="90"/>
              <w:left w:type="dxa" w:w="120"/>
              <w:bottom w:type="dxa" w:w="90"/>
              <w:right w:type="dxa" w:w="120"/>
            </w:tcMar>
          </w:tcPr>
          <w:p>
            <w:pPr>
              <w:spacing w:after="0" w:line="280"/>
            </w:pPr>
            <w:r>
              <w:rPr>
                <w:rFonts w:ascii="Calibri" w:cs="Calibri" w:eastAsia="Calibri" w:hAnsi="Calibri"/>
                <w:b/>
                <w:bCs/>
                <w:color w:val="FFFFFF"/>
                <w:sz w:val="20"/>
                <w:szCs w:val="20"/>
              </w:rPr>
              <w:t xml:space="preserve">Nivel</w:t>
            </w:r>
          </w:p>
        </w:tc>
        <w:tc>
          <w:tcPr>
            <w:tcW w:type="dxa" w:w="6826"/>
            <w:shd w:fill="8C3B2E" w:color="auto" w:val="clear"/>
            <w:tcMar>
              <w:top w:type="dxa" w:w="90"/>
              <w:left w:type="dxa" w:w="120"/>
              <w:bottom w:type="dxa" w:w="90"/>
              <w:right w:type="dxa" w:w="120"/>
            </w:tcMar>
          </w:tcPr>
          <w:p>
            <w:pPr>
              <w:spacing w:after="0" w:line="280"/>
            </w:pPr>
            <w:r>
              <w:rPr>
                <w:rFonts w:ascii="Calibri" w:cs="Calibri" w:eastAsia="Calibri" w:hAnsi="Calibri"/>
                <w:b/>
                <w:bCs/>
                <w:color w:val="FFFFFF"/>
                <w:sz w:val="20"/>
                <w:szCs w:val="20"/>
              </w:rPr>
              <w:t xml:space="preserve">Lo que certifica</w:t>
            </w:r>
          </w:p>
        </w:tc>
      </w:tr>
      <w:tr>
        <w:trPr>
          <w:tblHeader w:val="false"/>
        </w:trPr>
        <w:tc>
          <w:tcPr>
            <w:tcW w:type="dxa" w:w="2200"/>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1 · Iniciado / En desarrollo</w:t>
            </w:r>
          </w:p>
        </w:tc>
        <w:tc>
          <w:tcPr>
            <w:tcW w:type="dxa" w:w="6826"/>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Todavía no alcanza el criterio</w:t>
            </w:r>
          </w:p>
        </w:tc>
      </w:tr>
      <w:tr>
        <w:trPr>
          <w:tblHeader w:val="false"/>
        </w:trPr>
        <w:tc>
          <w:tcPr>
            <w:tcW w:type="dxa" w:w="2200"/>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2 · Suficiente / Conseguido</w:t>
            </w:r>
          </w:p>
        </w:tc>
        <w:tc>
          <w:tcPr>
            <w:tcW w:type="dxa" w:w="6826"/>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Alcanza el criterio en lo esencial</w:t>
            </w:r>
          </w:p>
        </w:tc>
      </w:tr>
      <w:tr>
        <w:trPr>
          <w:tblHeader w:val="false"/>
        </w:trPr>
        <w:tc>
          <w:tcPr>
            <w:tcW w:type="dxa" w:w="2200"/>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3 · Notable / Avanzado</w:t>
            </w:r>
          </w:p>
        </w:tc>
        <w:tc>
          <w:tcPr>
            <w:tcW w:type="dxa" w:w="6826"/>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Lo alcanza con solvencia</w:t>
            </w:r>
          </w:p>
        </w:tc>
      </w:tr>
      <w:tr>
        <w:trPr>
          <w:tblHeader w:val="false"/>
        </w:trPr>
        <w:tc>
          <w:tcPr>
            <w:tcW w:type="dxa" w:w="2200"/>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4 · Excelente</w:t>
            </w:r>
          </w:p>
        </w:tc>
        <w:tc>
          <w:tcPr>
            <w:tcW w:type="dxa" w:w="6826"/>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Lo supera, con autonomía y matiz propio</w:t>
            </w:r>
          </w:p>
        </w:tc>
      </w:tr>
    </w:tbl>
    <w:p>
      <w:pPr>
        <w:spacing w:after="180"/>
      </w:pPr>
    </w:p>
    <w:p>
      <w:pPr>
        <w:pStyle w:val="Heading1"/>
        <w:spacing w:after="160" w:before="420"/>
      </w:pPr>
      <w:r>
        <w:rPr>
          <w:rFonts w:ascii="Calibri" w:cs="Calibri" w:eastAsia="Calibri" w:hAnsi="Calibri"/>
          <w:b/>
          <w:bCs/>
          <w:color w:val="1F4E79"/>
          <w:sz w:val="30"/>
          <w:szCs w:val="30"/>
        </w:rPr>
        <w:t xml:space="preserve">5. Cuándo usar una rúbrica y cuándo no</w:t>
      </w:r>
    </w:p>
    <w:p>
      <w:pPr>
        <w:spacing w:after="140" w:line="300"/>
      </w:pPr>
      <w:r>
        <w:rPr>
          <w:rFonts w:ascii="Calibri" w:cs="Calibri" w:eastAsia="Calibri" w:hAnsi="Calibri"/>
          <w:sz w:val="22"/>
          <w:szCs w:val="22"/>
        </w:rPr>
        <w:t xml:space="preserve">Esta es la pregunta que más profesores se saltan, y saltársela es lo que hace que la gente odie las rúbricas: se acaban usando para todo, incluidos los dictados, y eso es puro despilfarro burocrático.</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8C3B2E" w:color="auto" w:val="clear"/>
            <w:tcMar>
              <w:top w:type="dxa" w:w="90"/>
              <w:left w:type="dxa" w:w="120"/>
              <w:bottom w:type="dxa" w:w="90"/>
              <w:right w:type="dxa" w:w="120"/>
            </w:tcMar>
          </w:tcPr>
          <w:p>
            <w:pPr>
              <w:spacing w:after="0" w:line="280"/>
            </w:pPr>
            <w:r>
              <w:rPr>
                <w:rFonts w:ascii="Calibri" w:cs="Calibri" w:eastAsia="Calibri" w:hAnsi="Calibri"/>
                <w:b/>
                <w:bCs/>
                <w:color w:val="FFFFFF"/>
                <w:sz w:val="20"/>
                <w:szCs w:val="20"/>
              </w:rPr>
              <w:t xml:space="preserve">Tipo de prueba</w:t>
            </w:r>
          </w:p>
        </w:tc>
        <w:tc>
          <w:tcPr>
            <w:tcW w:type="dxa" w:w="6026"/>
            <w:shd w:fill="8C3B2E" w:color="auto" w:val="clear"/>
            <w:tcMar>
              <w:top w:type="dxa" w:w="90"/>
              <w:left w:type="dxa" w:w="120"/>
              <w:bottom w:type="dxa" w:w="90"/>
              <w:right w:type="dxa" w:w="120"/>
            </w:tcMar>
          </w:tcPr>
          <w:p>
            <w:pPr>
              <w:spacing w:after="0" w:line="280"/>
            </w:pPr>
            <w:r>
              <w:rPr>
                <w:rFonts w:ascii="Calibri" w:cs="Calibri" w:eastAsia="Calibri" w:hAnsi="Calibri"/>
                <w:b/>
                <w:bCs/>
                <w:color w:val="FFFFFF"/>
                <w:sz w:val="20"/>
                <w:szCs w:val="20"/>
              </w:rPr>
              <w:t xml:space="preserve">Instrumento correcto</w:t>
            </w:r>
          </w:p>
        </w:tc>
      </w:tr>
      <w:tr>
        <w:trPr>
          <w:tblHeader w:val="false"/>
        </w:trPr>
        <w:tc>
          <w:tcPr>
            <w:tcW w:type="dxa" w:w="3000"/>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Prueba objetiva: test, dictado, hueco cerrado</w:t>
            </w:r>
          </w:p>
        </w:tc>
        <w:tc>
          <w:tcPr>
            <w:tcW w:type="dxa" w:w="6026"/>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Clave de respuestas. No hay gradación de calidad, solo acierto o error</w:t>
            </w:r>
          </w:p>
        </w:tc>
      </w:tr>
      <w:tr>
        <w:trPr>
          <w:tblHeader w:val="false"/>
        </w:trPr>
        <w:tc>
          <w:tcPr>
            <w:tcW w:type="dxa" w:w="3000"/>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Desarrollo largo, comentario, EBAU</w:t>
            </w:r>
          </w:p>
        </w:tc>
        <w:tc>
          <w:tcPr>
            <w:tcW w:type="dxa" w:w="6026"/>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Escala de estimación analítica: puntos directos por apartado</w:t>
            </w:r>
          </w:p>
        </w:tc>
      </w:tr>
      <w:tr>
        <w:trPr>
          <w:tblHeader w:val="false"/>
        </w:trPr>
        <w:tc>
          <w:tcPr>
            <w:tcW w:type="dxa" w:w="3000"/>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Tarea de desempeño: ensayo, proyecto, exposición</w:t>
            </w:r>
          </w:p>
        </w:tc>
        <w:tc>
          <w:tcPr>
            <w:tcW w:type="dxa" w:w="6026"/>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Rúbrica analítica completa. Su terreno natural</w:t>
            </w:r>
          </w:p>
        </w:tc>
      </w:tr>
      <w:tr>
        <w:trPr>
          <w:tblHeader w:val="false"/>
        </w:trPr>
        <w:tc>
          <w:tcPr>
            <w:tcW w:type="dxa" w:w="3000"/>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Tarea diaria o de proceso: un borrador</w:t>
            </w:r>
          </w:p>
        </w:tc>
        <w:tc>
          <w:tcPr>
            <w:tcW w:type="dxa" w:w="6026"/>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Lista de cotejo o rúbrica de un solo punto</w:t>
            </w:r>
          </w:p>
        </w:tc>
      </w:tr>
    </w:tbl>
    <w:p>
      <w:pPr>
        <w:spacing w:after="160"/>
      </w:pPr>
    </w:p>
    <w:tbl>
      <w:tblPr>
        <w:tblW w:type="dxa" w:w="9026"/>
        <w:tblBorders>
          <w:top w:val="none"/>
          <w:left w:val="single" w:color="2E6B4F" w:sz="18"/>
          <w:bottom w:val="none"/>
          <w:right w:val="none"/>
          <w:insideH w:val="none"/>
          <w:insideV w:val="none"/>
        </w:tblBorders>
      </w:tblPr>
      <w:tblGrid>
        <w:gridCol w:w="9026"/>
      </w:tblGrid>
      <w:tr>
        <w:tc>
          <w:tcPr>
            <w:tcW w:type="dxa" w:w="9026"/>
            <w:shd w:fill="F7F7F5" w:color="auto" w:val="clear"/>
            <w:tcMar>
              <w:top w:type="dxa" w:w="150"/>
              <w:left w:type="dxa" w:w="220"/>
              <w:bottom w:type="dxa" w:w="150"/>
              <w:right w:type="dxa" w:w="180"/>
            </w:tcMar>
          </w:tcPr>
          <w:p>
            <w:pPr>
              <w:spacing w:after="70"/>
            </w:pPr>
            <w:r>
              <w:rPr>
                <w:rFonts w:ascii="Calibri" w:cs="Calibri" w:eastAsia="Calibri" w:hAnsi="Calibri"/>
                <w:b/>
                <w:bCs/>
                <w:color w:val="2E6B4F"/>
                <w:sz w:val="22"/>
                <w:szCs w:val="22"/>
              </w:rPr>
              <w:t xml:space="preserve">Rúbrica de un solo punto</w:t>
            </w:r>
          </w:p>
          <w:p>
            <w:pPr>
              <w:spacing w:after="0" w:line="300"/>
            </w:pPr>
            <w:r>
              <w:rPr>
                <w:rFonts w:ascii="Calibri" w:cs="Calibri" w:eastAsia="Calibri" w:hAnsi="Calibri"/>
                <w:sz w:val="22"/>
                <w:szCs w:val="22"/>
              </w:rPr>
              <w:t xml:space="preserve">El formato más sostenible para el día a día. Solo se describe el nivel esperado, en el centro; a los lados se deja espacio en blanco para anotar, a mano, qué le ha faltado o en qué ha sobresalido ese alumno concreto. Toda la potencia formativa de una rúbrica, sin la carga burocrática de escribir cuatro niveles para una tarea que dura diez minutos.</w:t>
            </w:r>
          </w:p>
        </w:tc>
      </w:tr>
    </w:tbl>
    <w:p>
      <w:pPr>
        <w:spacing w:after="220"/>
      </w:pPr>
    </w:p>
    <w:p>
      <w:pPr>
        <w:pStyle w:val="Heading1"/>
        <w:spacing w:after="160" w:before="420"/>
      </w:pPr>
      <w:r>
        <w:rPr>
          <w:rFonts w:ascii="Calibri" w:cs="Calibri" w:eastAsia="Calibri" w:hAnsi="Calibri"/>
          <w:b/>
          <w:bCs/>
          <w:color w:val="1F4E79"/>
          <w:sz w:val="30"/>
          <w:szCs w:val="30"/>
        </w:rPr>
        <w:t xml:space="preserve">6. Diseño inverso: el orden en que se hacen las cosas</w:t>
      </w:r>
    </w:p>
    <w:p>
      <w:pPr>
        <w:spacing w:after="140" w:line="300"/>
      </w:pPr>
      <w:r>
        <w:rPr>
          <w:rFonts w:ascii="Calibri" w:cs="Calibri" w:eastAsia="Calibri" w:hAnsi="Calibri"/>
          <w:sz w:val="22"/>
          <w:szCs w:val="22"/>
        </w:rPr>
        <w:t xml:space="preserve">Es la idea de Wiggins y McTighe y suena más complicada de lo que es: la rúbrica se escribe antes de diseñar la tarea, no después. Primero decides qué evidencia demuestra que el alumno ha alcanzado el criterio; solo entonces diseñas la actividad que va a producir esa evidencia.</w:t>
      </w:r>
    </w:p>
    <w:p>
      <w:pPr>
        <w:spacing w:after="140" w:line="300"/>
      </w:pPr>
      <w:r>
        <w:rPr>
          <w:rFonts w:ascii="Calibri" w:cs="Calibri" w:eastAsia="Calibri" w:hAnsi="Calibri"/>
          <w:sz w:val="22"/>
          <w:szCs w:val="22"/>
        </w:rPr>
        <w:t xml:space="preserve">El orden contrario — diseñar la tarea y luego intentar encajarle una rúbrica — es la razón por la que tantas rúbricas parecen forzadas: se escriben para justificar una tarea ya cerrada, en vez de que la tarea exista para poner a prueba lo que de verdad importa.</w:t>
      </w:r>
    </w:p>
    <w:p>
      <w:pPr>
        <w:spacing w:after="180"/>
      </w:pPr>
    </w:p>
    <w:p>
      <w:pPr>
        <w:pStyle w:val="Heading1"/>
        <w:spacing w:after="160" w:before="420"/>
      </w:pPr>
      <w:r>
        <w:rPr>
          <w:rFonts w:ascii="Calibri" w:cs="Calibri" w:eastAsia="Calibri" w:hAnsi="Calibri"/>
          <w:b/>
          <w:bCs/>
          <w:color w:val="1F4E79"/>
          <w:sz w:val="30"/>
          <w:szCs w:val="30"/>
        </w:rPr>
        <w:t xml:space="preserve">7. El otro pilar técnico: la validez</w:t>
      </w:r>
    </w:p>
    <w:p>
      <w:pPr>
        <w:spacing w:after="140" w:line="300"/>
      </w:pPr>
      <w:r>
        <w:rPr>
          <w:rFonts w:ascii="Calibri" w:cs="Calibri" w:eastAsia="Calibri" w:hAnsi="Calibri"/>
          <w:sz w:val="22"/>
          <w:szCs w:val="22"/>
        </w:rPr>
        <w:t xml:space="preserve">Si la fiabilidad es que dos correctores coincidan, la validez es algo distinto y más fácil de perder de vista: que la rúbrica mida de verdad lo que dice medir.</w:t>
      </w:r>
    </w:p>
    <w:tbl>
      <w:tblPr>
        <w:tblW w:type="dxa" w:w="9026"/>
        <w:tblBorders>
          <w:top w:val="none"/>
          <w:left w:val="single" w:color="1F4E79" w:sz="18"/>
          <w:bottom w:val="none"/>
          <w:right w:val="none"/>
          <w:insideH w:val="none"/>
          <w:insideV w:val="none"/>
        </w:tblBorders>
      </w:tblPr>
      <w:tblGrid>
        <w:gridCol w:w="9026"/>
      </w:tblGrid>
      <w:tr>
        <w:tc>
          <w:tcPr>
            <w:tcW w:type="dxa" w:w="9026"/>
            <w:shd w:fill="F7F7F5" w:color="auto" w:val="clear"/>
            <w:tcMar>
              <w:top w:type="dxa" w:w="150"/>
              <w:left w:type="dxa" w:w="220"/>
              <w:bottom w:type="dxa" w:w="150"/>
              <w:right w:type="dxa" w:w="180"/>
            </w:tcMar>
          </w:tcPr>
          <w:p>
            <w:pPr>
              <w:spacing w:after="70"/>
            </w:pPr>
            <w:r>
              <w:rPr>
                <w:rFonts w:ascii="Calibri" w:cs="Calibri" w:eastAsia="Calibri" w:hAnsi="Calibri"/>
                <w:b/>
                <w:bCs/>
                <w:color w:val="1F4E79"/>
                <w:sz w:val="22"/>
                <w:szCs w:val="22"/>
              </w:rPr>
              <w:t xml:space="preserve">Validez</w:t>
            </w:r>
          </w:p>
          <w:p>
            <w:pPr>
              <w:spacing w:after="0" w:line="300"/>
            </w:pPr>
            <w:r>
              <w:rPr>
                <w:rFonts w:ascii="Calibri" w:cs="Calibri" w:eastAsia="Calibri" w:hAnsi="Calibri"/>
                <w:sz w:val="22"/>
                <w:szCs w:val="22"/>
              </w:rPr>
              <w:t xml:space="preserve">Una rúbrica es válida cuando sus descriptores capturan la competencia real, no un sustituto fácil de corregir. El ejemplo clásico: premiar la corrección ortográfica de un texto argumentativo por encima de la calidad de los argumentos mide ortografía, no argumentación — por muy bien escrita que esté la rúbrica.</w:t>
            </w:r>
          </w:p>
        </w:tc>
      </w:tr>
    </w:tbl>
    <w:p>
      <w:pPr>
        <w:spacing w:after="220"/>
      </w:pPr>
    </w:p>
    <w:p>
      <w:pPr>
        <w:pStyle w:val="Heading1"/>
        <w:spacing w:after="160" w:before="420"/>
      </w:pPr>
      <w:r>
        <w:rPr>
          <w:rFonts w:ascii="Calibri" w:cs="Calibri" w:eastAsia="Calibri" w:hAnsi="Calibri"/>
          <w:b/>
          <w:bCs/>
          <w:color w:val="1F4E79"/>
          <w:sz w:val="30"/>
          <w:szCs w:val="30"/>
        </w:rPr>
        <w:t xml:space="preserve">8. La progresión entre cursos no se inventa, se lee</w:t>
      </w:r>
    </w:p>
    <w:p>
      <w:pPr>
        <w:spacing w:after="140" w:line="300"/>
      </w:pPr>
      <w:r>
        <w:rPr>
          <w:rFonts w:ascii="Calibri" w:cs="Calibri" w:eastAsia="Calibri" w:hAnsi="Calibri"/>
          <w:sz w:val="22"/>
          <w:szCs w:val="22"/>
        </w:rPr>
        <w:t xml:space="preserve">Un error muy tentador es redactar el nivel Excelente de 1.º de ESO igual de exigente que el de 1.º de Bachillerato, porque «excelente es excelente». No lo es. Lo que separa un curso de otro ya está escrito en la propia redacción del criterio oficial, y basta con leerla con atención:</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shd w:fill="8C3B2E" w:color="auto" w:val="clear"/>
            <w:tcMar>
              <w:top w:type="dxa" w:w="90"/>
              <w:left w:type="dxa" w:w="120"/>
              <w:bottom w:type="dxa" w:w="90"/>
              <w:right w:type="dxa" w:w="120"/>
            </w:tcMar>
          </w:tcPr>
          <w:p>
            <w:pPr>
              <w:spacing w:after="0" w:line="280"/>
            </w:pPr>
            <w:r>
              <w:rPr>
                <w:rFonts w:ascii="Calibri" w:cs="Calibri" w:eastAsia="Calibri" w:hAnsi="Calibri"/>
                <w:b/>
                <w:bCs/>
                <w:color w:val="FFFFFF"/>
                <w:sz w:val="20"/>
                <w:szCs w:val="20"/>
              </w:rPr>
              <w:t xml:space="preserve"/>
            </w:r>
          </w:p>
        </w:tc>
        <w:tc>
          <w:tcPr>
            <w:tcW w:type="dxa" w:w="3200"/>
            <w:shd w:fill="8C3B2E" w:color="auto" w:val="clear"/>
            <w:tcMar>
              <w:top w:type="dxa" w:w="90"/>
              <w:left w:type="dxa" w:w="120"/>
              <w:bottom w:type="dxa" w:w="90"/>
              <w:right w:type="dxa" w:w="120"/>
            </w:tcMar>
          </w:tcPr>
          <w:p>
            <w:pPr>
              <w:spacing w:after="0" w:line="280"/>
            </w:pPr>
            <w:r>
              <w:rPr>
                <w:rFonts w:ascii="Calibri" w:cs="Calibri" w:eastAsia="Calibri" w:hAnsi="Calibri"/>
                <w:b/>
                <w:bCs/>
                <w:color w:val="FFFFFF"/>
                <w:sz w:val="20"/>
                <w:szCs w:val="20"/>
              </w:rPr>
              <w:t xml:space="preserve">Cursos iniciales</w:t>
            </w:r>
          </w:p>
        </w:tc>
        <w:tc>
          <w:tcPr>
            <w:tcW w:type="dxa" w:w="3226"/>
            <w:shd w:fill="8C3B2E" w:color="auto" w:val="clear"/>
            <w:tcMar>
              <w:top w:type="dxa" w:w="90"/>
              <w:left w:type="dxa" w:w="120"/>
              <w:bottom w:type="dxa" w:w="90"/>
              <w:right w:type="dxa" w:w="120"/>
            </w:tcMar>
          </w:tcPr>
          <w:p>
            <w:pPr>
              <w:spacing w:after="0" w:line="280"/>
            </w:pPr>
            <w:r>
              <w:rPr>
                <w:rFonts w:ascii="Calibri" w:cs="Calibri" w:eastAsia="Calibri" w:hAnsi="Calibri"/>
                <w:b/>
                <w:bCs/>
                <w:color w:val="FFFFFF"/>
                <w:sz w:val="20"/>
                <w:szCs w:val="20"/>
              </w:rPr>
              <w:t xml:space="preserve">Cursos avanzados</w:t>
            </w:r>
          </w:p>
        </w:tc>
      </w:tr>
      <w:tr>
        <w:trPr>
          <w:tblHeader w:val="false"/>
        </w:trPr>
        <w:tc>
          <w:tcPr>
            <w:tcW w:type="dxa" w:w="2600"/>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Fórmulas del currículo</w:t>
            </w:r>
          </w:p>
        </w:tc>
        <w:tc>
          <w:tcPr>
            <w:tcW w:type="dxa" w:w="3200"/>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«sencillos», «de manera guiada», «con ayuda de pautas y modelos»</w:t>
            </w:r>
          </w:p>
        </w:tc>
        <w:tc>
          <w:tcPr>
            <w:tcW w:type="dxa" w:w="3226"/>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«de cierta extensión», «progresivamente autónoma»</w:t>
            </w:r>
          </w:p>
        </w:tc>
      </w:tr>
      <w:tr>
        <w:trPr>
          <w:tblHeader w:val="false"/>
        </w:trPr>
        <w:tc>
          <w:tcPr>
            <w:tcW w:type="dxa" w:w="2600"/>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Autonomía</w:t>
            </w:r>
          </w:p>
        </w:tc>
        <w:tc>
          <w:tcPr>
            <w:tcW w:type="dxa" w:w="3200"/>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Tarea acompañada, con modelo a la vista</w:t>
            </w:r>
          </w:p>
        </w:tc>
        <w:tc>
          <w:tcPr>
            <w:tcW w:type="dxa" w:w="3226"/>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Planificación autónoma y autorregulada</w:t>
            </w:r>
          </w:p>
        </w:tc>
      </w:tr>
      <w:tr>
        <w:trPr>
          <w:tblHeader w:val="false"/>
        </w:trPr>
        <w:tc>
          <w:tcPr>
            <w:tcW w:type="dxa" w:w="2600"/>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Complejidad textual</w:t>
            </w:r>
          </w:p>
        </w:tc>
        <w:tc>
          <w:tcPr>
            <w:tcW w:type="dxa" w:w="3200"/>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Un solo propósito, estructura dada</w:t>
            </w:r>
          </w:p>
        </w:tc>
        <w:tc>
          <w:tcPr>
            <w:tcW w:type="dxa" w:w="3226"/>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Matización, gestión del contraargumento</w:t>
            </w:r>
          </w:p>
        </w:tc>
      </w:tr>
    </w:tbl>
    <w:p>
      <w:pPr>
        <w:spacing w:after="160"/>
      </w:pPr>
    </w:p>
    <w:tbl>
      <w:tblPr>
        <w:tblW w:type="dxa" w:w="9026"/>
        <w:tblBorders>
          <w:top w:val="none"/>
          <w:left w:val="single" w:color="8A6D1A" w:sz="18"/>
          <w:bottom w:val="none"/>
          <w:right w:val="none"/>
          <w:insideH w:val="none"/>
          <w:insideV w:val="none"/>
        </w:tblBorders>
      </w:tblPr>
      <w:tblGrid>
        <w:gridCol w:w="9026"/>
      </w:tblGrid>
      <w:tr>
        <w:tc>
          <w:tcPr>
            <w:tcW w:type="dxa" w:w="9026"/>
            <w:shd w:fill="F7F7F5" w:color="auto" w:val="clear"/>
            <w:tcMar>
              <w:top w:type="dxa" w:w="150"/>
              <w:left w:type="dxa" w:w="220"/>
              <w:bottom w:type="dxa" w:w="150"/>
              <w:right w:type="dxa" w:w="180"/>
            </w:tcMar>
          </w:tcPr>
          <w:p>
            <w:pPr>
              <w:spacing w:after="70"/>
            </w:pPr>
            <w:r>
              <w:rPr>
                <w:rFonts w:ascii="Calibri" w:cs="Calibri" w:eastAsia="Calibri" w:hAnsi="Calibri"/>
                <w:b/>
                <w:bCs/>
                <w:color w:val="8A6D1A"/>
                <w:sz w:val="22"/>
                <w:szCs w:val="22"/>
              </w:rPr>
              <w:t xml:space="preserve">La trampa que hay que evitar</w:t>
            </w:r>
          </w:p>
          <w:p>
            <w:pPr>
              <w:spacing w:after="0" w:line="300"/>
            </w:pPr>
            <w:r>
              <w:rPr>
                <w:rFonts w:ascii="Calibri" w:cs="Calibri" w:eastAsia="Calibri" w:hAnsi="Calibri"/>
                <w:sz w:val="22"/>
                <w:szCs w:val="22"/>
              </w:rPr>
              <w:t xml:space="preserve">No calibres la progresión subiendo verbos de una taxonomía cognitiva. Un criterio de 1.º de ESO puede pedir «revisar el texto», que es un verbo exigente, y seguir siendo apropiado para 1.º, porque lo que lo distingue de Bachillerato es que se hace «de manera guiada». El verbo lo pone el currículo; lo que escala es la condición que lo acompaña.</w:t>
            </w:r>
          </w:p>
        </w:tc>
      </w:tr>
    </w:tbl>
    <w:p>
      <w:pPr>
        <w:spacing w:after="220"/>
      </w:pPr>
    </w:p>
    <w:p>
      <w:pPr>
        <w:pStyle w:val="Heading1"/>
        <w:spacing w:after="160" w:before="420"/>
      </w:pPr>
      <w:r>
        <w:rPr>
          <w:rFonts w:ascii="Calibri" w:cs="Calibri" w:eastAsia="Calibri" w:hAnsi="Calibri"/>
          <w:b/>
          <w:bCs/>
          <w:color w:val="1F4E79"/>
          <w:sz w:val="30"/>
          <w:szCs w:val="30"/>
        </w:rPr>
        <w:t xml:space="preserve">9. De los cuatro niveles a la nota sobre 10</w:t>
      </w:r>
    </w:p>
    <w:p>
      <w:pPr>
        <w:spacing w:after="140" w:line="300"/>
      </w:pPr>
      <w:r>
        <w:rPr>
          <w:rFonts w:ascii="Calibri" w:cs="Calibri" w:eastAsia="Calibri" w:hAnsi="Calibri"/>
          <w:sz w:val="22"/>
          <w:szCs w:val="22"/>
        </w:rPr>
        <w:t xml:space="preserve">Tarde o temprano la administración exige un número, y aquí es donde más rúbricas se estropean: se calcula la nota antes de haber decidido bien el nivel, y el número acaba mandando sobre la descripción en vez de ser su traducción.</w:t>
      </w:r>
    </w:p>
    <w:tbl>
      <w:tblPr>
        <w:tblW w:type="dxa" w:w="9026"/>
        <w:tblBorders>
          <w:top w:val="none"/>
          <w:left w:val="single" w:color="8C3B2E" w:sz="18"/>
          <w:bottom w:val="none"/>
          <w:right w:val="none"/>
          <w:insideH w:val="none"/>
          <w:insideV w:val="none"/>
        </w:tblBorders>
      </w:tblPr>
      <w:tblGrid>
        <w:gridCol w:w="9026"/>
      </w:tblGrid>
      <w:tr>
        <w:tc>
          <w:tcPr>
            <w:tcW w:type="dxa" w:w="9026"/>
            <w:shd w:fill="F7F7F5" w:color="auto" w:val="clear"/>
            <w:tcMar>
              <w:top w:type="dxa" w:w="150"/>
              <w:left w:type="dxa" w:w="220"/>
              <w:bottom w:type="dxa" w:w="150"/>
              <w:right w:type="dxa" w:w="180"/>
            </w:tcMar>
          </w:tcPr>
          <w:p>
            <w:pPr>
              <w:spacing w:after="70"/>
            </w:pPr>
            <w:r>
              <w:rPr>
                <w:rFonts w:ascii="Calibri" w:cs="Calibri" w:eastAsia="Calibri" w:hAnsi="Calibri"/>
                <w:b/>
                <w:bCs/>
                <w:color w:val="8C3B2E"/>
                <w:sz w:val="22"/>
                <w:szCs w:val="22"/>
              </w:rPr>
              <w:t xml:space="preserve">Regla de oro de la calificación</w:t>
            </w:r>
          </w:p>
          <w:p>
            <w:pPr>
              <w:spacing w:after="0" w:line="300"/>
            </w:pPr>
            <w:r>
              <w:rPr>
                <w:rFonts w:ascii="Calibri" w:cs="Calibri" w:eastAsia="Calibri" w:hAnsi="Calibri"/>
                <w:sz w:val="22"/>
                <w:szCs w:val="22"/>
              </w:rPr>
              <w:t xml:space="preserve">El descriptor cualitativo manda; el número es su traducción, nunca su origen. Si dos correctores discrepan en la nota, lo que hay que discutir es el descriptor, no la cifra.</w:t>
            </w:r>
          </w:p>
        </w:tc>
      </w:tr>
    </w:tbl>
    <w:p>
      <w:pPr>
        <w:spacing w:after="120"/>
      </w:pPr>
    </w:p>
    <w:p>
      <w:pPr>
        <w:spacing w:after="140" w:line="300"/>
      </w:pPr>
      <w:r>
        <w:rPr>
          <w:rFonts w:ascii="Calibri" w:cs="Calibri" w:eastAsia="Calibri" w:hAnsi="Calibri"/>
          <w:sz w:val="22"/>
          <w:szCs w:val="22"/>
        </w:rPr>
        <w:t xml:space="preserve">La correspondencia más extendida — y la que conviene usar por defecto salvo que el centro tenga otra fijada — trabaja con franjas, no con un número fijo por nivel, precisamente para dejar margen de juicio dentro de cada uno:</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226"/>
      </w:tblGrid>
      <w:tr>
        <w:trPr>
          <w:tblHeader/>
        </w:trPr>
        <w:tc>
          <w:tcPr>
            <w:tcW w:type="dxa" w:w="3200"/>
            <w:shd w:fill="8C3B2E" w:color="auto" w:val="clear"/>
            <w:tcMar>
              <w:top w:type="dxa" w:w="90"/>
              <w:left w:type="dxa" w:w="120"/>
              <w:bottom w:type="dxa" w:w="90"/>
              <w:right w:type="dxa" w:w="120"/>
            </w:tcMar>
          </w:tcPr>
          <w:p>
            <w:pPr>
              <w:spacing w:after="0" w:line="280"/>
            </w:pPr>
            <w:r>
              <w:rPr>
                <w:rFonts w:ascii="Calibri" w:cs="Calibri" w:eastAsia="Calibri" w:hAnsi="Calibri"/>
                <w:b/>
                <w:bCs/>
                <w:color w:val="FFFFFF"/>
                <w:sz w:val="20"/>
                <w:szCs w:val="20"/>
              </w:rPr>
              <w:t xml:space="preserve">Nivel</w:t>
            </w:r>
          </w:p>
        </w:tc>
        <w:tc>
          <w:tcPr>
            <w:tcW w:type="dxa" w:w="2600"/>
            <w:shd w:fill="8C3B2E" w:color="auto" w:val="clear"/>
            <w:tcMar>
              <w:top w:type="dxa" w:w="90"/>
              <w:left w:type="dxa" w:w="120"/>
              <w:bottom w:type="dxa" w:w="90"/>
              <w:right w:type="dxa" w:w="120"/>
            </w:tcMar>
          </w:tcPr>
          <w:p>
            <w:pPr>
              <w:spacing w:after="0" w:line="280"/>
            </w:pPr>
            <w:r>
              <w:rPr>
                <w:rFonts w:ascii="Calibri" w:cs="Calibri" w:eastAsia="Calibri" w:hAnsi="Calibri"/>
                <w:b/>
                <w:bCs/>
                <w:color w:val="FFFFFF"/>
                <w:sz w:val="20"/>
                <w:szCs w:val="20"/>
              </w:rPr>
              <w:t xml:space="preserve">Banda sobre 10</w:t>
            </w:r>
          </w:p>
        </w:tc>
        <w:tc>
          <w:tcPr>
            <w:tcW w:type="dxa" w:w="3226"/>
            <w:shd w:fill="8C3B2E" w:color="auto" w:val="clear"/>
            <w:tcMar>
              <w:top w:type="dxa" w:w="90"/>
              <w:left w:type="dxa" w:w="120"/>
              <w:bottom w:type="dxa" w:w="90"/>
              <w:right w:type="dxa" w:w="120"/>
            </w:tcMar>
          </w:tcPr>
          <w:p>
            <w:pPr>
              <w:spacing w:after="0" w:line="280"/>
            </w:pPr>
            <w:r>
              <w:rPr>
                <w:rFonts w:ascii="Calibri" w:cs="Calibri" w:eastAsia="Calibri" w:hAnsi="Calibri"/>
                <w:b/>
                <w:bCs/>
                <w:color w:val="FFFFFF"/>
                <w:sz w:val="20"/>
                <w:szCs w:val="20"/>
              </w:rPr>
              <w:t xml:space="preserve">Lectura</w:t>
            </w:r>
          </w:p>
        </w:tc>
      </w:tr>
      <w:tr>
        <w:trPr>
          <w:tblHeader w:val="false"/>
        </w:trPr>
        <w:tc>
          <w:tcPr>
            <w:tcW w:type="dxa" w:w="3200"/>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4 · Excelente</w:t>
            </w:r>
          </w:p>
        </w:tc>
        <w:tc>
          <w:tcPr>
            <w:tcW w:type="dxa" w:w="2600"/>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9,0 – 10</w:t>
            </w:r>
          </w:p>
        </w:tc>
        <w:tc>
          <w:tcPr>
            <w:tcW w:type="dxa" w:w="3226"/>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Lo supera con autonomía y matiz</w:t>
            </w:r>
          </w:p>
        </w:tc>
      </w:tr>
      <w:tr>
        <w:trPr>
          <w:tblHeader w:val="false"/>
        </w:trPr>
        <w:tc>
          <w:tcPr>
            <w:tcW w:type="dxa" w:w="3200"/>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3 · Notable</w:t>
            </w:r>
          </w:p>
        </w:tc>
        <w:tc>
          <w:tcPr>
            <w:tcW w:type="dxa" w:w="2600"/>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7,0 – 8,9</w:t>
            </w:r>
          </w:p>
        </w:tc>
        <w:tc>
          <w:tcPr>
            <w:tcW w:type="dxa" w:w="3226"/>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Lo alcanza con solvencia</w:t>
            </w:r>
          </w:p>
        </w:tc>
      </w:tr>
      <w:tr>
        <w:trPr>
          <w:tblHeader w:val="false"/>
        </w:trPr>
        <w:tc>
          <w:tcPr>
            <w:tcW w:type="dxa" w:w="3200"/>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2 · Suficiente</w:t>
            </w:r>
          </w:p>
        </w:tc>
        <w:tc>
          <w:tcPr>
            <w:tcW w:type="dxa" w:w="2600"/>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5,0 – 6,9</w:t>
            </w:r>
          </w:p>
        </w:tc>
        <w:tc>
          <w:tcPr>
            <w:tcW w:type="dxa" w:w="3226"/>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Lo alcanza en lo esencial</w:t>
            </w:r>
          </w:p>
        </w:tc>
      </w:tr>
      <w:tr>
        <w:trPr>
          <w:tblHeader w:val="false"/>
        </w:trPr>
        <w:tc>
          <w:tcPr>
            <w:tcW w:type="dxa" w:w="3200"/>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1 · Iniciado</w:t>
            </w:r>
          </w:p>
        </w:tc>
        <w:tc>
          <w:tcPr>
            <w:tcW w:type="dxa" w:w="2600"/>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0 – 4,9</w:t>
            </w:r>
          </w:p>
        </w:tc>
        <w:tc>
          <w:tcPr>
            <w:tcW w:type="dxa" w:w="3226"/>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Todavía no lo alcanza</w:t>
            </w:r>
          </w:p>
        </w:tc>
      </w:tr>
    </w:tbl>
    <w:p>
      <w:pPr>
        <w:spacing w:after="200"/>
      </w:pPr>
    </w:p>
    <w:p>
      <w:pPr>
        <w:pStyle w:val="Heading1"/>
        <w:spacing w:after="160" w:before="420"/>
      </w:pPr>
      <w:r>
        <w:rPr>
          <w:rFonts w:ascii="Calibri" w:cs="Calibri" w:eastAsia="Calibri" w:hAnsi="Calibri"/>
          <w:b/>
          <w:bCs/>
          <w:color w:val="1F4E79"/>
          <w:sz w:val="30"/>
          <w:szCs w:val="30"/>
        </w:rPr>
        <w:t xml:space="preserve">10. Para nota: la matriz cuantitativa</w:t>
      </w:r>
    </w:p>
    <w:p>
      <w:pPr>
        <w:spacing w:after="140" w:line="300"/>
      </w:pPr>
      <w:r>
        <w:rPr>
          <w:rFonts w:ascii="Calibri" w:cs="Calibri" w:eastAsia="Calibri" w:hAnsi="Calibri"/>
          <w:sz w:val="22"/>
          <w:szCs w:val="22"/>
        </w:rPr>
        <w:t xml:space="preserve">Esto es ya terreno de quien quiere afinar de verdad, y donde de verdad se nota si alguien domina el tema o solo repite el vocabulario. Hay dimensiones donde el nivel se puede — y conviene — descomponer en componentes con puntos exactos, en lugar de dejarlo a la impresión global del corrector.</w:t>
      </w:r>
    </w:p>
    <w:tbl>
      <w:tblPr>
        <w:tblW w:type="dxa" w:w="9026"/>
        <w:tblBorders>
          <w:top w:val="none"/>
          <w:left w:val="single" w:color="1F4E79" w:sz="18"/>
          <w:bottom w:val="none"/>
          <w:right w:val="none"/>
          <w:insideH w:val="none"/>
          <w:insideV w:val="none"/>
        </w:tblBorders>
      </w:tblPr>
      <w:tblGrid>
        <w:gridCol w:w="9026"/>
      </w:tblGrid>
      <w:tr>
        <w:tc>
          <w:tcPr>
            <w:tcW w:type="dxa" w:w="9026"/>
            <w:shd w:fill="F7F7F5" w:color="auto" w:val="clear"/>
            <w:tcMar>
              <w:top w:type="dxa" w:w="150"/>
              <w:left w:type="dxa" w:w="220"/>
              <w:bottom w:type="dxa" w:w="150"/>
              <w:right w:type="dxa" w:w="180"/>
            </w:tcMar>
          </w:tcPr>
          <w:p>
            <w:pPr>
              <w:spacing w:after="70"/>
            </w:pPr>
            <w:r>
              <w:rPr>
                <w:rFonts w:ascii="Calibri" w:cs="Calibri" w:eastAsia="Calibri" w:hAnsi="Calibri"/>
                <w:b/>
                <w:bCs/>
                <w:color w:val="1F4E79"/>
                <w:sz w:val="22"/>
                <w:szCs w:val="22"/>
              </w:rPr>
              <w:t xml:space="preserve">Matriz cuantitativa</w:t>
            </w:r>
          </w:p>
          <w:p>
            <w:pPr>
              <w:spacing w:after="0" w:line="300"/>
            </w:pPr>
            <w:r>
              <w:rPr>
                <w:rFonts w:ascii="Calibri" w:cs="Calibri" w:eastAsia="Calibri" w:hAnsi="Calibri"/>
                <w:sz w:val="22"/>
                <w:szCs w:val="22"/>
              </w:rPr>
              <w:t xml:space="preserve">Descompone una dimensión en varios componentes con puntuación máxima propia, cada uno con bandas basadas en algo contable: número de tipos de conector, número de fuentes contrastadas, número de errores. Es la diferencia entre «emplea conectores variados» y «emplea 4 o más tipos distintos de marcador discursivo».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shd w:fill="FBEAEA" w:color="auto" w:val="clear"/>
            <w:tcMar>
              <w:top w:type="dxa" w:w="100"/>
              <w:left w:type="dxa" w:w="150"/>
              <w:bottom w:type="dxa" w:w="100"/>
              <w:right w:type="dxa" w:w="150"/>
            </w:tcMar>
          </w:tcPr>
          <w:p>
            <w:pPr>
              <w:spacing w:after="40"/>
            </w:pPr>
            <w:r>
              <w:rPr>
                <w:rFonts w:ascii="Calibri" w:cs="Calibri" w:eastAsia="Calibri" w:hAnsi="Calibri"/>
                <w:b/>
                <w:bCs/>
                <w:color w:val="9B3B3B"/>
                <w:sz w:val="19"/>
                <w:szCs w:val="19"/>
              </w:rPr>
              <w:t xml:space="preserve">❌ Así no</w:t>
            </w:r>
          </w:p>
          <w:p>
            <w:pPr>
              <w:spacing w:after="0" w:line="280"/>
            </w:pPr>
            <w:r>
              <w:rPr>
                <w:rFonts w:ascii="Calibri" w:cs="Calibri" w:eastAsia="Calibri" w:hAnsi="Calibri"/>
                <w:i/>
                <w:iCs/>
                <w:sz w:val="20"/>
                <w:szCs w:val="20"/>
              </w:rPr>
              <w:t xml:space="preserve">Cohesión: emplea conectores variados (3 puntos).</w:t>
            </w:r>
          </w:p>
        </w:tc>
        <w:tc>
          <w:tcPr>
            <w:tcW w:type="dxa" w:w="4513"/>
            <w:shd w:fill="EAF3EC" w:color="auto" w:val="clear"/>
            <w:tcMar>
              <w:top w:type="dxa" w:w="100"/>
              <w:left w:type="dxa" w:w="150"/>
              <w:bottom w:type="dxa" w:w="100"/>
              <w:right w:type="dxa" w:w="150"/>
            </w:tcMar>
          </w:tcPr>
          <w:p>
            <w:pPr>
              <w:spacing w:after="40"/>
            </w:pPr>
            <w:r>
              <w:rPr>
                <w:rFonts w:ascii="Calibri" w:cs="Calibri" w:eastAsia="Calibri" w:hAnsi="Calibri"/>
                <w:b/>
                <w:bCs/>
                <w:color w:val="2E6B4F"/>
                <w:sz w:val="19"/>
                <w:szCs w:val="19"/>
              </w:rPr>
              <w:t xml:space="preserve">✅ Así sí</w:t>
            </w:r>
          </w:p>
          <w:p>
            <w:pPr>
              <w:spacing w:after="0" w:line="280"/>
            </w:pPr>
            <w:r>
              <w:rPr>
                <w:rFonts w:ascii="Calibri" w:cs="Calibri" w:eastAsia="Calibri" w:hAnsi="Calibri"/>
                <w:sz w:val="20"/>
                <w:szCs w:val="20"/>
              </w:rPr>
              <w:t xml:space="preserve">Variedad de conectores: 3 pts si usa 4+ tipos distintos · 2 pts si usa 2-3 · 1 pt si solo usa «y», «también» · 0 pts si no hay conectores.</w:t>
            </w:r>
          </w:p>
        </w:tc>
      </w:tr>
    </w:tbl>
    <w:p>
      <w:pPr>
        <w:spacing w:after="100"/>
      </w:pPr>
    </w:p>
    <w:p>
      <w:pPr>
        <w:spacing w:after="140" w:line="300"/>
      </w:pPr>
      <w:r>
        <w:rPr>
          <w:rFonts w:ascii="Calibri" w:cs="Calibri" w:eastAsia="Calibri" w:hAnsi="Calibri"/>
          <w:sz w:val="22"/>
          <w:szCs w:val="22"/>
        </w:rPr>
        <w:t xml:space="preserve">Dos reglas evitan que esto se convierta en un despropósito burocrático o, peor, en una trampa injusta:</w:t>
      </w:r>
    </w:p>
    <w:p>
      <w:pPr>
        <w:pStyle w:val="ListParagraph"/>
        <w:numPr>
          <w:ilvl w:val="0"/>
          <w:numId w:val="2"/>
        </w:numPr>
        <w:spacing w:after="90" w:line="300"/>
      </w:pPr>
      <w:r>
        <w:rPr>
          <w:rFonts w:ascii="Calibri" w:cs="Calibri" w:eastAsia="Calibri" w:hAnsi="Calibri"/>
          <w:sz w:val="22"/>
          <w:szCs w:val="22"/>
        </w:rPr>
        <w:t xml:space="preserve">Toda penalización declara un tope. Sin tope, un texto flojo puede acumular descuentos hasta un número absurdo, o hacer que una dimensión reste puntos de otra.</w:t>
      </w:r>
    </w:p>
    <w:p>
      <w:pPr>
        <w:pStyle w:val="ListParagraph"/>
        <w:numPr>
          <w:ilvl w:val="0"/>
          <w:numId w:val="2"/>
        </w:numPr>
        <w:spacing w:after="90" w:line="300"/>
      </w:pPr>
      <w:r>
        <w:rPr>
          <w:rFonts w:ascii="Calibri" w:cs="Calibri" w:eastAsia="Calibri" w:hAnsi="Calibri"/>
          <w:sz w:val="22"/>
          <w:szCs w:val="22"/>
        </w:rPr>
        <w:t xml:space="preserve">Ninguna penalización puede medir lo que ya mide un componente de la misma matriz. Si la puntuación ya penaliza los errores de puntuación, no puede existir además un descuento aparte por «párrafo sin puntuar»: eso es pagar dos veces por lo mismo, y una rúbrica así no se sostiene ante una reclamación.</w:t>
      </w:r>
    </w:p>
    <w:p>
      <w:pPr>
        <w:spacing w:after="180"/>
      </w:pPr>
    </w:p>
    <w:p>
      <w:pPr>
        <w:spacing w:after="140" w:line="300"/>
      </w:pPr>
      <w:r>
        <w:rPr>
          <w:rFonts w:ascii="Calibri" w:cs="Calibri" w:eastAsia="Calibri" w:hAnsi="Calibri"/>
          <w:i/>
          <w:iCs/>
          <w:color w:val="595959"/>
          <w:sz w:val="22"/>
          <w:szCs w:val="22"/>
        </w:rPr>
        <w:t xml:space="preserve">Este nivel de precisión es especialmente valioso cuando quien corrige apoyándose en la rúbrica es una inteligencia artificial: una IA no interpreta «variados» con criterio docente, cuenta. Dale algo contable y el resultado será fiable; dale una impresión y el resultado será una impresión disfrazada de número.</w:t>
      </w:r>
    </w:p>
    <w:p>
      <w:pPr>
        <w:spacing w:after="220"/>
      </w:pPr>
    </w:p>
    <w:p>
      <w:pPr>
        <w:pStyle w:val="Heading1"/>
        <w:spacing w:after="160" w:before="420"/>
      </w:pPr>
      <w:r>
        <w:rPr>
          <w:rFonts w:ascii="Calibri" w:cs="Calibri" w:eastAsia="Calibri" w:hAnsi="Calibri"/>
          <w:b/>
          <w:bCs/>
          <w:color w:val="1F4E79"/>
          <w:sz w:val="30"/>
          <w:szCs w:val="30"/>
        </w:rPr>
        <w:t xml:space="preserve">11. Tres principios para que la rúbrica sirva de algo en el aula</w:t>
      </w:r>
    </w:p>
    <w:tbl>
      <w:tblPr>
        <w:tblW w:type="dxa" w:w="9026"/>
        <w:tblBorders>
          <w:top w:val="none"/>
          <w:left w:val="single" w:color="1F4E79" w:sz="18"/>
          <w:bottom w:val="none"/>
          <w:right w:val="none"/>
          <w:insideH w:val="none"/>
          <w:insideV w:val="none"/>
        </w:tblBorders>
      </w:tblPr>
      <w:tblGrid>
        <w:gridCol w:w="9026"/>
      </w:tblGrid>
      <w:tr>
        <w:tc>
          <w:tcPr>
            <w:tcW w:type="dxa" w:w="9026"/>
            <w:shd w:fill="F7F7F5" w:color="auto" w:val="clear"/>
            <w:tcMar>
              <w:top w:type="dxa" w:w="150"/>
              <w:left w:type="dxa" w:w="220"/>
              <w:bottom w:type="dxa" w:w="150"/>
              <w:right w:type="dxa" w:w="180"/>
            </w:tcMar>
          </w:tcPr>
          <w:p>
            <w:pPr>
              <w:spacing w:after="70"/>
            </w:pPr>
            <w:r>
              <w:rPr>
                <w:rFonts w:ascii="Calibri" w:cs="Calibri" w:eastAsia="Calibri" w:hAnsi="Calibri"/>
                <w:b/>
                <w:bCs/>
                <w:color w:val="1F4E79"/>
                <w:sz w:val="22"/>
                <w:szCs w:val="22"/>
              </w:rPr>
              <w:t xml:space="preserve">Transparencia</w:t>
            </w:r>
          </w:p>
          <w:p>
            <w:pPr>
              <w:spacing w:after="0" w:line="300"/>
            </w:pPr>
            <w:r>
              <w:rPr>
                <w:rFonts w:ascii="Calibri" w:cs="Calibri" w:eastAsia="Calibri" w:hAnsi="Calibri"/>
                <w:sz w:val="22"/>
                <w:szCs w:val="22"/>
              </w:rPr>
              <w:t xml:space="preserve">La rúbrica se entrega y se explica al alumnado al empezar la tarea, nunca junto con la nota final. Funciona como un contrato didáctico: define de antemano qué se espera, y eso por sí solo reduce la sensación de arbitrariedad.</w:t>
            </w:r>
          </w:p>
        </w:tc>
      </w:tr>
    </w:tbl>
    <w:p>
      <w:pPr>
        <w:spacing w:after="100"/>
      </w:pPr>
    </w:p>
    <w:tbl>
      <w:tblPr>
        <w:tblW w:type="dxa" w:w="9026"/>
        <w:tblBorders>
          <w:top w:val="none"/>
          <w:left w:val="single" w:color="2E6B4F" w:sz="18"/>
          <w:bottom w:val="none"/>
          <w:right w:val="none"/>
          <w:insideH w:val="none"/>
          <w:insideV w:val="none"/>
        </w:tblBorders>
      </w:tblPr>
      <w:tblGrid>
        <w:gridCol w:w="9026"/>
      </w:tblGrid>
      <w:tr>
        <w:tc>
          <w:tcPr>
            <w:tcW w:type="dxa" w:w="9026"/>
            <w:shd w:fill="F7F7F5" w:color="auto" w:val="clear"/>
            <w:tcMar>
              <w:top w:type="dxa" w:w="150"/>
              <w:left w:type="dxa" w:w="220"/>
              <w:bottom w:type="dxa" w:w="150"/>
              <w:right w:type="dxa" w:w="180"/>
            </w:tcMar>
          </w:tcPr>
          <w:p>
            <w:pPr>
              <w:spacing w:after="70"/>
            </w:pPr>
            <w:r>
              <w:rPr>
                <w:rFonts w:ascii="Calibri" w:cs="Calibri" w:eastAsia="Calibri" w:hAnsi="Calibri"/>
                <w:b/>
                <w:bCs/>
                <w:color w:val="2E6B4F"/>
                <w:sz w:val="22"/>
                <w:szCs w:val="22"/>
              </w:rPr>
              <w:t xml:space="preserve">Sostenibilidad</w:t>
            </w:r>
          </w:p>
          <w:p>
            <w:pPr>
              <w:spacing w:after="0" w:line="300"/>
            </w:pPr>
            <w:r>
              <w:rPr>
                <w:rFonts w:ascii="Calibri" w:cs="Calibri" w:eastAsia="Calibri" w:hAnsi="Calibri"/>
                <w:sz w:val="22"/>
                <w:szCs w:val="22"/>
              </w:rPr>
              <w:t xml:space="preserve">Las rúbricas de más de cinco dimensiones se reservan para productos finales integradores. Para el día a día, listas de cotejo o rúbricas de un solo punto. La frase que resume el problema contrario es de Mariana Morales: usar la rúbrica solo para calificar al final es como usar una Thermomix para rallar pan.</w:t>
            </w:r>
          </w:p>
        </w:tc>
      </w:tr>
    </w:tbl>
    <w:p>
      <w:pPr>
        <w:spacing w:after="100"/>
      </w:pPr>
    </w:p>
    <w:tbl>
      <w:tblPr>
        <w:tblW w:type="dxa" w:w="9026"/>
        <w:tblBorders>
          <w:top w:val="none"/>
          <w:left w:val="single" w:color="8A6D1A" w:sz="18"/>
          <w:bottom w:val="none"/>
          <w:right w:val="none"/>
          <w:insideH w:val="none"/>
          <w:insideV w:val="none"/>
        </w:tblBorders>
      </w:tblPr>
      <w:tblGrid>
        <w:gridCol w:w="9026"/>
      </w:tblGrid>
      <w:tr>
        <w:tc>
          <w:tcPr>
            <w:tcW w:type="dxa" w:w="9026"/>
            <w:shd w:fill="F7F7F5" w:color="auto" w:val="clear"/>
            <w:tcMar>
              <w:top w:type="dxa" w:w="150"/>
              <w:left w:type="dxa" w:w="220"/>
              <w:bottom w:type="dxa" w:w="150"/>
              <w:right w:type="dxa" w:w="180"/>
            </w:tcMar>
          </w:tcPr>
          <w:p>
            <w:pPr>
              <w:spacing w:after="70"/>
            </w:pPr>
            <w:r>
              <w:rPr>
                <w:rFonts w:ascii="Calibri" w:cs="Calibri" w:eastAsia="Calibri" w:hAnsi="Calibri"/>
                <w:b/>
                <w:bCs/>
                <w:color w:val="8A6D1A"/>
                <w:sz w:val="22"/>
                <w:szCs w:val="22"/>
              </w:rPr>
              <w:t xml:space="preserve">Autoevaluación y coevaluación</w:t>
            </w:r>
          </w:p>
          <w:p>
            <w:pPr>
              <w:spacing w:after="0" w:line="300"/>
            </w:pPr>
            <w:r>
              <w:rPr>
                <w:rFonts w:ascii="Calibri" w:cs="Calibri" w:eastAsia="Calibri" w:hAnsi="Calibri"/>
                <w:sz w:val="22"/>
                <w:szCs w:val="22"/>
              </w:rPr>
              <w:t xml:space="preserve">Toda rúbrica debería poder reformularse en primera persona («identifico», «utilizo», «justifico») para que el propio alumnado la use como mapa de autorregulación, no solo como instrumento del profesor.</w:t>
            </w:r>
          </w:p>
        </w:tc>
      </w:tr>
    </w:tbl>
    <w:p>
      <w:pPr>
        <w:spacing w:after="240"/>
      </w:pPr>
    </w:p>
    <w:p>
      <w:pPr>
        <w:pageBreakBefore/>
      </w:pPr>
    </w:p>
    <w:p>
      <w:pPr>
        <w:pStyle w:val="Heading1"/>
        <w:spacing w:after="160" w:before="420"/>
      </w:pPr>
      <w:r>
        <w:rPr>
          <w:rFonts w:ascii="Calibri" w:cs="Calibri" w:eastAsia="Calibri" w:hAnsi="Calibri"/>
          <w:b/>
          <w:bCs/>
          <w:color w:val="1F4E79"/>
          <w:sz w:val="30"/>
          <w:szCs w:val="30"/>
        </w:rPr>
        <w:t xml:space="preserve">12. Glosario de bolsillo</w:t>
      </w:r>
    </w:p>
    <w:p>
      <w:pPr>
        <w:spacing w:after="140" w:line="300"/>
      </w:pPr>
      <w:r>
        <w:rPr>
          <w:rFonts w:ascii="Calibri" w:cs="Calibri" w:eastAsia="Calibri" w:hAnsi="Calibri"/>
          <w:i/>
          <w:iCs/>
          <w:color w:val="595959"/>
          <w:sz w:val="22"/>
          <w:szCs w:val="22"/>
        </w:rPr>
        <w:t xml:space="preserve">Para consultar sin tener que releer el documento entero.</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8C3B2E" w:color="auto" w:val="clear"/>
            <w:tcMar>
              <w:top w:type="dxa" w:w="90"/>
              <w:left w:type="dxa" w:w="120"/>
              <w:bottom w:type="dxa" w:w="90"/>
              <w:right w:type="dxa" w:w="120"/>
            </w:tcMar>
          </w:tcPr>
          <w:p>
            <w:pPr>
              <w:spacing w:after="0" w:line="280"/>
            </w:pPr>
            <w:r>
              <w:rPr>
                <w:rFonts w:ascii="Calibri" w:cs="Calibri" w:eastAsia="Calibri" w:hAnsi="Calibri"/>
                <w:b/>
                <w:bCs/>
                <w:color w:val="FFFFFF"/>
                <w:sz w:val="20"/>
                <w:szCs w:val="20"/>
              </w:rPr>
              <w:t xml:space="preserve">Término</w:t>
            </w:r>
          </w:p>
        </w:tc>
        <w:tc>
          <w:tcPr>
            <w:tcW w:type="dxa" w:w="6626"/>
            <w:shd w:fill="8C3B2E" w:color="auto" w:val="clear"/>
            <w:tcMar>
              <w:top w:type="dxa" w:w="90"/>
              <w:left w:type="dxa" w:w="120"/>
              <w:bottom w:type="dxa" w:w="90"/>
              <w:right w:type="dxa" w:w="120"/>
            </w:tcMar>
          </w:tcPr>
          <w:p>
            <w:pPr>
              <w:spacing w:after="0" w:line="280"/>
            </w:pPr>
            <w:r>
              <w:rPr>
                <w:rFonts w:ascii="Calibri" w:cs="Calibri" w:eastAsia="Calibri" w:hAnsi="Calibri"/>
                <w:b/>
                <w:bCs/>
                <w:color w:val="FFFFFF"/>
                <w:sz w:val="20"/>
                <w:szCs w:val="20"/>
              </w:rPr>
              <w:t xml:space="preserve">Qué significa</w:t>
            </w:r>
          </w:p>
        </w:tc>
      </w:tr>
      <w:tr>
        <w:trPr>
          <w:tblHeader w:val="false"/>
        </w:trPr>
        <w:tc>
          <w:tcPr>
            <w:tcW w:type="dxa" w:w="2400"/>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Criterio de evaluación</w:t>
            </w:r>
          </w:p>
        </w:tc>
        <w:tc>
          <w:tcPr>
            <w:tcW w:type="dxa" w:w="6626"/>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El único referente con valor legal para calificar. De aquí sale cada fila de la rúbrica</w:t>
            </w:r>
          </w:p>
        </w:tc>
      </w:tr>
      <w:tr>
        <w:trPr>
          <w:tblHeader w:val="false"/>
        </w:trPr>
        <w:tc>
          <w:tcPr>
            <w:tcW w:type="dxa" w:w="2400"/>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Competencia específica</w:t>
            </w:r>
          </w:p>
        </w:tc>
        <w:tc>
          <w:tcPr>
            <w:tcW w:type="dxa" w:w="6626"/>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El objetivo de aprendizaje de la materia del que se derivan los criterios de evaluación</w:t>
            </w:r>
          </w:p>
        </w:tc>
      </w:tr>
      <w:tr>
        <w:trPr>
          <w:tblHeader w:val="false"/>
        </w:trPr>
        <w:tc>
          <w:tcPr>
            <w:tcW w:type="dxa" w:w="2400"/>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Saber básico</w:t>
            </w:r>
          </w:p>
        </w:tc>
        <w:tc>
          <w:tcPr>
            <w:tcW w:type="dxa" w:w="6626"/>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El contenido clásico. Vehículo de la evaluación, nunca fila propia</w:t>
            </w:r>
          </w:p>
        </w:tc>
      </w:tr>
      <w:tr>
        <w:trPr>
          <w:tblHeader w:val="false"/>
        </w:trPr>
        <w:tc>
          <w:tcPr>
            <w:tcW w:type="dxa" w:w="2400"/>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Dimensión / indicador</w:t>
            </w:r>
          </w:p>
        </w:tc>
        <w:tc>
          <w:tcPr>
            <w:tcW w:type="dxa" w:w="6626"/>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Cada fila de la rúbrica: una acción competencial extraída del criterio</w:t>
            </w:r>
          </w:p>
        </w:tc>
      </w:tr>
      <w:tr>
        <w:trPr>
          <w:tblHeader w:val="false"/>
        </w:trPr>
        <w:tc>
          <w:tcPr>
            <w:tcW w:type="dxa" w:w="2400"/>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Nivel de logro</w:t>
            </w:r>
          </w:p>
        </w:tc>
        <w:tc>
          <w:tcPr>
            <w:tcW w:type="dxa" w:w="6626"/>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Cada columna. Cuatro por defecto, para evitar el aprobado central</w:t>
            </w:r>
          </w:p>
        </w:tc>
      </w:tr>
      <w:tr>
        <w:trPr>
          <w:tblHeader w:val="false"/>
        </w:trPr>
        <w:tc>
          <w:tcPr>
            <w:tcW w:type="dxa" w:w="2400"/>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Descriptor</w:t>
            </w:r>
          </w:p>
        </w:tc>
        <w:tc>
          <w:tcPr>
            <w:tcW w:type="dxa" w:w="6626"/>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El texto de cada celda: verbo observable + contenido + condición</w:t>
            </w:r>
          </w:p>
        </w:tc>
      </w:tr>
      <w:tr>
        <w:trPr>
          <w:tblHeader w:val="false"/>
        </w:trPr>
        <w:tc>
          <w:tcPr>
            <w:tcW w:type="dxa" w:w="2400"/>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Adverbitis</w:t>
            </w:r>
          </w:p>
        </w:tc>
        <w:tc>
          <w:tcPr>
            <w:tcW w:type="dxa" w:w="6626"/>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El vicio de redactar descriptores con adverbios vagos en vez de acciones verificables</w:t>
            </w:r>
          </w:p>
        </w:tc>
      </w:tr>
      <w:tr>
        <w:trPr>
          <w:tblHeader w:val="false"/>
        </w:trPr>
        <w:tc>
          <w:tcPr>
            <w:tcW w:type="dxa" w:w="2400"/>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Fiabilidad</w:t>
            </w:r>
          </w:p>
        </w:tc>
        <w:tc>
          <w:tcPr>
            <w:tcW w:type="dxa" w:w="6626"/>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Que dos correctores distintos, ante el mismo trabajo, coincidan en el nivel</w:t>
            </w:r>
          </w:p>
        </w:tc>
      </w:tr>
      <w:tr>
        <w:trPr>
          <w:tblHeader w:val="false"/>
        </w:trPr>
        <w:tc>
          <w:tcPr>
            <w:tcW w:type="dxa" w:w="2400"/>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Validez</w:t>
            </w:r>
          </w:p>
        </w:tc>
        <w:tc>
          <w:tcPr>
            <w:tcW w:type="dxa" w:w="6626"/>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Que la rúbrica mida de verdad la competencia, no un sustituto fácil de corregir</w:t>
            </w:r>
          </w:p>
        </w:tc>
      </w:tr>
      <w:tr>
        <w:trPr>
          <w:tblHeader w:val="false"/>
        </w:trPr>
        <w:tc>
          <w:tcPr>
            <w:tcW w:type="dxa" w:w="2400"/>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Diseño inverso</w:t>
            </w:r>
          </w:p>
        </w:tc>
        <w:tc>
          <w:tcPr>
            <w:tcW w:type="dxa" w:w="6626"/>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Escribir la rúbrica antes de diseñar la tarea, no al revés</w:t>
            </w:r>
          </w:p>
        </w:tc>
      </w:tr>
      <w:tr>
        <w:trPr>
          <w:tblHeader w:val="false"/>
        </w:trPr>
        <w:tc>
          <w:tcPr>
            <w:tcW w:type="dxa" w:w="2400"/>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Rúbrica analítica</w:t>
            </w:r>
          </w:p>
        </w:tc>
        <w:tc>
          <w:tcPr>
            <w:tcW w:type="dxa" w:w="6626"/>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Varias dimensiones evaluadas por separado, cada una con su nivel</w:t>
            </w:r>
          </w:p>
        </w:tc>
      </w:tr>
      <w:tr>
        <w:trPr>
          <w:tblHeader w:val="false"/>
        </w:trPr>
        <w:tc>
          <w:tcPr>
            <w:tcW w:type="dxa" w:w="2400"/>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Rúbrica holística</w:t>
            </w:r>
          </w:p>
        </w:tc>
        <w:tc>
          <w:tcPr>
            <w:tcW w:type="dxa" w:w="6626"/>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Una sola escala global. Solo para tareas muy acotadas</w:t>
            </w:r>
          </w:p>
        </w:tc>
      </w:tr>
      <w:tr>
        <w:trPr>
          <w:tblHeader w:val="false"/>
        </w:trPr>
        <w:tc>
          <w:tcPr>
            <w:tcW w:type="dxa" w:w="2400"/>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Rúbrica de un solo punto</w:t>
            </w:r>
          </w:p>
        </w:tc>
        <w:tc>
          <w:tcPr>
            <w:tcW w:type="dxa" w:w="6626"/>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Describe solo el nivel esperado; deja hueco a los lados para feedback manual</w:t>
            </w:r>
          </w:p>
        </w:tc>
      </w:tr>
      <w:tr>
        <w:trPr>
          <w:tblHeader w:val="false"/>
        </w:trPr>
        <w:tc>
          <w:tcPr>
            <w:tcW w:type="dxa" w:w="2400"/>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Escala de estimación analítica</w:t>
            </w:r>
          </w:p>
        </w:tc>
        <w:tc>
          <w:tcPr>
            <w:tcW w:type="dxa" w:w="6626"/>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Puntos directos por apartado, para pruebas de desarrollo largo o EBAU</w:t>
            </w:r>
          </w:p>
        </w:tc>
      </w:tr>
      <w:tr>
        <w:trPr>
          <w:tblHeader w:val="false"/>
        </w:trPr>
        <w:tc>
          <w:tcPr>
            <w:tcW w:type="dxa" w:w="2400"/>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Lista de cotejo</w:t>
            </w:r>
          </w:p>
        </w:tc>
        <w:tc>
          <w:tcPr>
            <w:tcW w:type="dxa" w:w="6626"/>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Sí/no por ítem, derivada del nivel Suficiente. Para tareas de proceso</w:t>
            </w:r>
          </w:p>
        </w:tc>
      </w:tr>
      <w:tr>
        <w:trPr>
          <w:tblHeader w:val="false"/>
        </w:trPr>
        <w:tc>
          <w:tcPr>
            <w:tcW w:type="dxa" w:w="2400"/>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Matriz cuantitativa</w:t>
            </w:r>
          </w:p>
        </w:tc>
        <w:tc>
          <w:tcPr>
            <w:tcW w:type="dxa" w:w="6626"/>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Una dimensión descompuesta en componentes con puntos exactos y bandas contables</w:t>
            </w:r>
          </w:p>
        </w:tc>
      </w:tr>
      <w:tr>
        <w:trPr>
          <w:tblHeader w:val="false"/>
        </w:trPr>
        <w:tc>
          <w:tcPr>
            <w:tcW w:type="dxa" w:w="2400"/>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Detractor / penalización</w:t>
            </w:r>
          </w:p>
        </w:tc>
        <w:tc>
          <w:tcPr>
            <w:tcW w:type="dxa" w:w="6626"/>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Descuento de puntos por un fallo concreto, siempre con un tope declarado</w:t>
            </w:r>
          </w:p>
        </w:tc>
      </w:tr>
      <w:tr>
        <w:trPr>
          <w:tblHeader w:val="false"/>
        </w:trPr>
        <w:tc>
          <w:tcPr>
            <w:tcW w:type="dxa" w:w="2400"/>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Progresión vertical</w:t>
            </w:r>
          </w:p>
        </w:tc>
        <w:tc>
          <w:tcPr>
            <w:tcW w:type="dxa" w:w="6626"/>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Cómo cambia la exigencia de un mismo criterio entre cursos. Se lee en el propio currículo</w:t>
            </w:r>
          </w:p>
        </w:tc>
      </w:tr>
      <w:tr>
        <w:trPr>
          <w:tblHeader w:val="false"/>
        </w:trPr>
        <w:tc>
          <w:tcPr>
            <w:tcW w:type="dxa" w:w="2400"/>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Diseño de reversa curricular</w:t>
            </w:r>
          </w:p>
        </w:tc>
        <w:tc>
          <w:tcPr>
            <w:tcW w:type="dxa" w:w="6626"/>
            <w:shd w:fill="F5F2F0" w:color="auto" w:val="clear"/>
            <w:tcMar>
              <w:top w:type="dxa" w:w="90"/>
              <w:left w:type="dxa" w:w="120"/>
              <w:bottom w:type="dxa" w:w="90"/>
              <w:right w:type="dxa" w:w="120"/>
            </w:tcMar>
          </w:tcPr>
          <w:p>
            <w:pPr>
              <w:spacing w:after="0" w:line="280"/>
            </w:pPr>
            <w:r>
              <w:rPr>
                <w:rFonts w:ascii="Calibri" w:cs="Calibri" w:eastAsia="Calibri" w:hAnsi="Calibri"/>
                <w:b w:val="false"/>
                <w:bCs w:val="false"/>
                <w:sz w:val="20"/>
                <w:szCs w:val="20"/>
              </w:rPr>
              <w:t xml:space="preserve">Sinónimo habitual de diseño inverso en la literatura en español</w:t>
            </w:r>
          </w:p>
        </w:tc>
      </w:tr>
    </w:tbl>
    <w:p>
      <w:pPr>
        <w:spacing w:after="260"/>
      </w:pPr>
    </w:p>
    <w:p>
      <w:pPr>
        <w:pBdr>
          <w:bottom w:val="single" w:color="D9D9D9" w:sz="6" w:space="8"/>
        </w:pBdr>
        <w:spacing w:after="200"/>
      </w:pPr>
    </w:p>
    <w:p>
      <w:pPr>
        <w:spacing w:after="140" w:line="300"/>
      </w:pPr>
      <w:r>
        <w:rPr>
          <w:rFonts w:ascii="Calibri" w:cs="Calibri" w:eastAsia="Calibri" w:hAnsi="Calibri"/>
          <w:i/>
          <w:iCs/>
          <w:color w:val="595959"/>
          <w:sz w:val="20"/>
          <w:szCs w:val="20"/>
        </w:rPr>
        <w:t xml:space="preserve">Con esto ya puedes sostener una conversación sobre rúbricas con cualquier compañero de departamento, cualquier inspector y cualquier familia que venga a reclamar una nota. El resto es práctica.</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2026-07-28T01:23:25.816Z</dcterms:created>
  <dcterms:modified xsi:type="dcterms:W3CDTF">2026-07-28T01:23:25.816Z</dcterms:modified>
</cp:coreProperties>
</file>

<file path=docProps/custom.xml><?xml version="1.0" encoding="utf-8"?>
<Properties xmlns="http://schemas.openxmlformats.org/officeDocument/2006/custom-properties" xmlns:vt="http://schemas.openxmlformats.org/officeDocument/2006/docPropsVTypes"/>
</file>