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NORMALIZACIÓN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Las tablas Fecha y Hora se fusionan de modo que como resultado se obtiene una tabla que almacena la misma información que la tabla Cita, por lo que la resultante se elimina para evitar redundancias.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 diseño lógico desarrollado ya cumple la primera forma normal (1FN), ya que es un esquema entidad relación (E-R) y además, no hay ningún atributo en las tablas que sea generado o dependiente de la tabla (por ejemplo, clave primaria “auto-increment”).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Aunque a primera vista pueda parecer que el atributo “NombreServicio” en la tabla “Profesional+Asignación” no dependa del DNI, en nuestro sistema cada profesional es especialista en un campo en concreto, de modo que tiene únicamente un servicio asociado y por ello, la columna NombreServicio dependa directamente de la columna DNI.</w:t>
      </w:r>
    </w:p>
    <w:p w:rsidR="00000000" w:rsidDel="00000000" w:rsidP="00000000" w:rsidRDefault="00000000" w:rsidRPr="00000000" w14:paraId="00000008">
      <w:pPr>
        <w:rPr/>
      </w:pPr>
      <w:r w:rsidDel="00000000" w:rsidR="00000000" w:rsidRPr="00000000">
        <w:rPr>
          <w:rtl w:val="0"/>
        </w:rPr>
        <w:t xml:space="preserve">Por lo que se cumple la segunda forma normal (2FN). Ya que todos los atributos no primos de las relaciones dependen únicamente de las claves candidatas.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Por otro lado, está además en tercera forma normal (3FN). Todos los atributos dependen únicamente de la clave primaria y por tanto, no aparecen dependencias transitivas.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Podríamos decir que Teléfono y Correo pudieran ser claves candidatas, pero no lo son. Ambos atributos no son claves ya que pueden existir usuarios dependientes de otros, por ejemplo menores, donde dichos datos serán rellenados con los del tutor/a.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Finalmente, basta con observar que todas las claves candidatas pertenecen a las claves primarias de las tablas, por lo que cumple la forma normal de Boyce-Codd (FNBC).</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