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“Mismo Texto Diferente Emoción”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Tarea: Aplicar a un mismo titular una fuente Sans-Serif moderna y una Serif clásica. Explicar en 2 fases en el Portfolio qué tipo de emoción transmite cada una y en qué tipo de negocio web la usarías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1. Aplicar las tipografías al mismo titular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Sans-Serif (moderna)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estilo, tu esencia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Serif (clásica)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estilo, tu esencia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2. Emociones y negocios web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Sans-Serif: transmite modernidad, sencillez y frescura. La usaría en una tienda online de ropa juvenil o tecnología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Serif: transmite elegancia, tradición y seriedad. La usaría en una web de joyería o de moda de lujo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