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7.940264911392"/>
        <w:gridCol w:w="4197.571546112232"/>
        <w:tblGridChange w:id="0">
          <w:tblGrid>
            <w:gridCol w:w="4827.940264911392"/>
            <w:gridCol w:w="4197.5715461122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 interactivo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Visibilidad: El usuario debe ver claramente qué puede hacer en la interfaz.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Un botón de “Enviar” bien visible.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Feedback: El sistema debe informar al usuario sobre el resultado de sus acciones.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Al enviar un formulario aparece el mensaje “Mensaje enviado correctamente”.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Posibilidades de acción: El diseño debe indicar cómo se puede utilizar un elemento.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Un botón con aspecto de botón indica que se puede pulsar.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Mapeo: Debe existir una relación clara entre un control y su efecto.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Las flechas de un reproductor sirven para pasar a la canción anterior o siguiente.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Restricciones: Se deben limitar las acciones que puedan provocar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 botón de “Continuar” permanece desactivado hasta completar los campos obligatorios.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Consistencia: Elementos similares deben funcionar y presentarse de forma similar.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Todos los botones principales de una aplicación mantienen el mismo estilo y funcionamiento.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Modelo conceptual: La interfaz debe funcionar de una manera que resulte fácil de entender para el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 icono de papelera representa la acción de eliminar un archivo.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Control y libertad del usuario: El usuario debe poder controlar sus acciones y corregir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 botón de “Deshacer” permite recuperar una acción eliminada.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Prevención de errores: El diseño debe evitar que el usuario cometa errores antes de que ocurran.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Mostrar una ventana de confirmación antes de eliminar definitivamente un archivo.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ante errores: Si ocurre un error, el sistema debe explicar qué ha pasado y cómo solucionarlo.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Aparece “Contraseña incorrecta. Inténtalo de nuevo” en lugar de un mensaje incomprensible.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