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pvd92xeytvnk" w:id="0"/>
      <w:bookmarkEnd w:id="0"/>
      <w:r w:rsidDel="00000000" w:rsidR="00000000" w:rsidRPr="00000000">
        <w:rPr>
          <w:b w:val="1"/>
          <w:bCs w:val="1"/>
          <w:rtl w:val="0"/>
        </w:rPr>
        <w:t xml:space="preserve">¿Cómo crees que se puede aplicar cada una de estas leyes al diseño de una Web?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Ley de proximidad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 puede usar poniendo juntos los elementos que tienen relación. Por ejemplo, poner una foto y el texto que habla de esa foto uno al lado del otro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Ley de semejanza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puede usar haciendo que las cosas que sirven para lo mismo tengan el mismo diseño. Por ejemplo, que todos los botones sean del mismo color y tengan una forma parecida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Ley de continuidad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puede aplicar colocando las cosas de forma ordenada para que cuando estés mirando la web puedas seguir la información sin perderte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Ley de cierre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puede usar en algunos dibujos o iconos que no están completos, porque nuestro cerebro es capaz de imaginar la parte que falta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Ley de figura y fondo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puede aplicar haciendo que las cosas importantes destaquen del fondo. Por ejemplo, poner las letras negras sobre un fondo blanco para que se vean mejor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Ley de destino común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 puede usar haciendo que varios elementos se muevan o aparezcan en la misma dirección. Así entendemos que esos elementos están relacionados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Ley de pregnancia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 puede aplicar haciendo una web sencilla y sin demasiadas cosas. Así es más fácil encontrar lo que buscas y no te lías con tantos colores, imágenes o textos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