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60"/>
        </w:rPr>
        <w:t>Azure Infrastructure</w:t>
        <w:br/>
        <w:t>Self-Healing Agent</w:t>
      </w:r>
    </w:p>
    <w:p>
      <w:pPr>
        <w:jc w:val="center"/>
      </w:pPr>
      <w:r>
        <w:rPr>
          <w:color w:val="4472C4"/>
          <w:sz w:val="36"/>
        </w:rPr>
        <w:t>Repository Architecture and Data Flow Guide</w:t>
      </w:r>
    </w:p>
    <w:p>
      <w:pPr>
        <w:spacing w:before="560"/>
        <w:jc w:val="center"/>
      </w:pPr>
      <w:r>
        <w:rPr>
          <w:sz w:val="22"/>
        </w:rPr>
        <w:t>Scope: Python Azure Function, policy engine, Azure integrations, infrastructure, tests, and operational flow</w:t>
      </w:r>
    </w:p>
    <w:p>
      <w:pPr>
        <w:spacing w:before="1400"/>
        <w:jc w:val="center"/>
      </w:pPr>
      <w:r>
        <w:rPr>
          <w:color w:val="646464"/>
          <w:sz w:val="20"/>
        </w:rPr>
        <w:t>Generated 13 August 2026</w:t>
        <w:br/>
        <w:t>Branch: cursor/implement-self-healing-agent-9b71</w:t>
      </w:r>
    </w:p>
    <w:p>
      <w:r>
        <w:br w:type="page"/>
      </w:r>
    </w:p>
    <w:p>
      <w:pPr>
        <w:pStyle w:val="Heading1"/>
      </w:pPr>
      <w:r>
        <w:t>1. Purpose and Scope</w:t>
      </w:r>
    </w:p>
    <w:p>
      <w:r>
        <w:t>This document explains the repository folder by folder, describes the responsibility of every source file, and traces data from an Azure Monitor alert through policy evaluation, remediation, recovery validation, and audit logging. It is intended for developers, platform engineers, security reviewers, and operators.</w:t>
      </w:r>
    </w:p>
    <w:p>
      <w:pPr>
        <w:pStyle w:val="ListBullet"/>
        <w:spacing w:after="40"/>
      </w:pPr>
      <w:r>
        <w:t>Current remediation scope: restart one explicitly opted-in Microsoft.Web/sites App Service.</w:t>
      </w:r>
    </w:p>
    <w:p>
      <w:pPr>
        <w:pStyle w:val="ListBullet"/>
        <w:spacing w:after="40"/>
      </w:pPr>
      <w:r>
        <w:t>Runtime: Python 3.12 on Azure Functions v4 using the Python v2 programming model.</w:t>
      </w:r>
    </w:p>
    <w:p>
      <w:pPr>
        <w:pStyle w:val="ListBullet"/>
        <w:spacing w:after="40"/>
      </w:pPr>
      <w:r>
        <w:t>Authentication: DefaultAzureCredential, resolving to the Function App managed identity in Azure.</w:t>
      </w:r>
    </w:p>
    <w:p>
      <w:pPr>
        <w:pStyle w:val="ListBullet"/>
        <w:spacing w:after="40"/>
      </w:pPr>
      <w:r>
        <w:t>Safety posture: dry-run by default, fail-closed policy, bounded target count, alert allowlisting, deduplication, and retry limits.</w:t>
      </w:r>
    </w:p>
    <w:p>
      <w:pPr>
        <w:pStyle w:val="ListBullet"/>
        <w:spacing w:after="40"/>
      </w:pPr>
      <w:r>
        <w:t>Persistence and audit: Azure Table Storage attempt ledger plus structured Application Insights traces.</w:t>
      </w:r>
    </w:p>
    <w:p>
      <w:pPr>
        <w:pStyle w:val="Heading1"/>
      </w:pPr>
      <w:r>
        <w:t>2. System at a Glance</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center"/>
            <w:shd w:fill="2F5597"/>
          </w:tcPr>
          <w:p>
            <w:r/>
            <w:r>
              <w:rPr>
                <w:b/>
                <w:color w:val="FFFFFF"/>
                <w:sz w:val="18"/>
              </w:rPr>
              <w:t>Stage</w:t>
            </w:r>
          </w:p>
        </w:tc>
        <w:tc>
          <w:tcPr>
            <w:tcW w:type="dxa" w:w="2448"/>
            <w:vAlign w:val="center"/>
            <w:shd w:fill="2F5597"/>
          </w:tcPr>
          <w:p>
            <w:r/>
            <w:r>
              <w:rPr>
                <w:b/>
                <w:color w:val="FFFFFF"/>
                <w:sz w:val="18"/>
              </w:rPr>
              <w:t>Primary component</w:t>
            </w:r>
          </w:p>
        </w:tc>
        <w:tc>
          <w:tcPr>
            <w:tcW w:type="dxa" w:w="6480"/>
            <w:vAlign w:val="center"/>
            <w:shd w:fill="2F5597"/>
          </w:tcPr>
          <w:p>
            <w:r/>
            <w:r>
              <w:rPr>
                <w:b/>
                <w:color w:val="FFFFFF"/>
                <w:sz w:val="18"/>
              </w:rPr>
              <w:t>Responsibility</w:t>
            </w:r>
          </w:p>
        </w:tc>
      </w:tr>
      <w:tr>
        <w:tc>
          <w:tcPr>
            <w:tcW w:type="dxa" w:w="1152"/>
            <w:vAlign w:val="center"/>
          </w:tcPr>
          <w:p>
            <w:r/>
            <w:r>
              <w:rPr>
                <w:b w:val="0"/>
                <w:sz w:val="18"/>
              </w:rPr>
              <w:t>Observe</w:t>
            </w:r>
          </w:p>
        </w:tc>
        <w:tc>
          <w:tcPr>
            <w:tcW w:type="dxa" w:w="2448"/>
            <w:vAlign w:val="center"/>
          </w:tcPr>
          <w:p>
            <w:r/>
            <w:r>
              <w:rPr>
                <w:b w:val="0"/>
                <w:sz w:val="18"/>
              </w:rPr>
              <w:t>Azure Monitor alert rule</w:t>
            </w:r>
          </w:p>
        </w:tc>
        <w:tc>
          <w:tcPr>
            <w:tcW w:type="dxa" w:w="6480"/>
            <w:vAlign w:val="center"/>
          </w:tcPr>
          <w:p>
            <w:r/>
            <w:r>
              <w:rPr>
                <w:b w:val="0"/>
                <w:sz w:val="18"/>
              </w:rPr>
              <w:t>Detect an unhealthy signal and produce a common-schema alert.</w:t>
            </w:r>
          </w:p>
        </w:tc>
      </w:tr>
      <w:tr>
        <w:tc>
          <w:tcPr>
            <w:tcW w:type="dxa" w:w="1152"/>
            <w:vAlign w:val="center"/>
            <w:shd w:fill="EAF0F8"/>
          </w:tcPr>
          <w:p>
            <w:r/>
            <w:r>
              <w:rPr>
                <w:b w:val="0"/>
                <w:sz w:val="18"/>
              </w:rPr>
              <w:t>Receive</w:t>
            </w:r>
          </w:p>
        </w:tc>
        <w:tc>
          <w:tcPr>
            <w:tcW w:type="dxa" w:w="2448"/>
            <w:vAlign w:val="center"/>
            <w:shd w:fill="EAF0F8"/>
          </w:tcPr>
          <w:p>
            <w:r/>
            <w:r>
              <w:rPr>
                <w:b w:val="0"/>
                <w:sz w:val="18"/>
              </w:rPr>
              <w:t>function_app.py</w:t>
            </w:r>
          </w:p>
        </w:tc>
        <w:tc>
          <w:tcPr>
            <w:tcW w:type="dxa" w:w="6480"/>
            <w:vAlign w:val="center"/>
            <w:shd w:fill="EAF0F8"/>
          </w:tcPr>
          <w:p>
            <w:r/>
            <w:r>
              <w:rPr>
                <w:b w:val="0"/>
                <w:sz w:val="18"/>
              </w:rPr>
              <w:t>Authenticate the request, parse JSON, invoke the orchestrator, and return a bounded response.</w:t>
            </w:r>
          </w:p>
        </w:tc>
      </w:tr>
      <w:tr>
        <w:tc>
          <w:tcPr>
            <w:tcW w:type="dxa" w:w="1152"/>
            <w:vAlign w:val="center"/>
          </w:tcPr>
          <w:p>
            <w:r/>
            <w:r>
              <w:rPr>
                <w:b w:val="0"/>
                <w:sz w:val="18"/>
              </w:rPr>
              <w:t>Understand</w:t>
            </w:r>
          </w:p>
        </w:tc>
        <w:tc>
          <w:tcPr>
            <w:tcW w:type="dxa" w:w="2448"/>
            <w:vAlign w:val="center"/>
          </w:tcPr>
          <w:p>
            <w:r/>
            <w:r>
              <w:rPr>
                <w:b w:val="0"/>
                <w:sz w:val="18"/>
              </w:rPr>
              <w:t>alerts.py + resources.py</w:t>
            </w:r>
          </w:p>
        </w:tc>
        <w:tc>
          <w:tcPr>
            <w:tcW w:type="dxa" w:w="6480"/>
            <w:vAlign w:val="center"/>
          </w:tcPr>
          <w:p>
            <w:r/>
            <w:r>
              <w:rPr>
                <w:b w:val="0"/>
                <w:sz w:val="18"/>
              </w:rPr>
              <w:t>Validate the alert and enrich it with authoritative Azure resource metadata and tags.</w:t>
            </w:r>
          </w:p>
        </w:tc>
      </w:tr>
      <w:tr>
        <w:tc>
          <w:tcPr>
            <w:tcW w:type="dxa" w:w="1152"/>
            <w:vAlign w:val="center"/>
            <w:shd w:fill="EAF0F8"/>
          </w:tcPr>
          <w:p>
            <w:r/>
            <w:r>
              <w:rPr>
                <w:b w:val="0"/>
                <w:sz w:val="18"/>
              </w:rPr>
              <w:t>Decide</w:t>
            </w:r>
          </w:p>
        </w:tc>
        <w:tc>
          <w:tcPr>
            <w:tcW w:type="dxa" w:w="2448"/>
            <w:vAlign w:val="center"/>
            <w:shd w:fill="EAF0F8"/>
          </w:tcPr>
          <w:p>
            <w:r/>
            <w:r>
              <w:rPr>
                <w:b w:val="0"/>
                <w:sz w:val="18"/>
              </w:rPr>
              <w:t>policy.py + state.py</w:t>
            </w:r>
          </w:p>
        </w:tc>
        <w:tc>
          <w:tcPr>
            <w:tcW w:type="dxa" w:w="6480"/>
            <w:vAlign w:val="center"/>
            <w:shd w:fill="EAF0F8"/>
          </w:tcPr>
          <w:p>
            <w:r/>
            <w:r>
              <w:rPr>
                <w:b w:val="0"/>
                <w:sz w:val="18"/>
              </w:rPr>
              <w:t>Apply allowlists and safety controls, then reserve a durable remediation attempt.</w:t>
            </w:r>
          </w:p>
        </w:tc>
      </w:tr>
      <w:tr>
        <w:tc>
          <w:tcPr>
            <w:tcW w:type="dxa" w:w="1152"/>
            <w:vAlign w:val="center"/>
          </w:tcPr>
          <w:p>
            <w:r/>
            <w:r>
              <w:rPr>
                <w:b w:val="0"/>
                <w:sz w:val="18"/>
              </w:rPr>
              <w:t>Act</w:t>
            </w:r>
          </w:p>
        </w:tc>
        <w:tc>
          <w:tcPr>
            <w:tcW w:type="dxa" w:w="2448"/>
            <w:vAlign w:val="center"/>
          </w:tcPr>
          <w:p>
            <w:r/>
            <w:r>
              <w:rPr>
                <w:b w:val="0"/>
                <w:sz w:val="18"/>
              </w:rPr>
              <w:t>resources.py</w:t>
            </w:r>
          </w:p>
        </w:tc>
        <w:tc>
          <w:tcPr>
            <w:tcW w:type="dxa" w:w="6480"/>
            <w:vAlign w:val="center"/>
          </w:tcPr>
          <w:p>
            <w:r/>
            <w:r>
              <w:rPr>
                <w:b w:val="0"/>
                <w:sz w:val="18"/>
              </w:rPr>
              <w:t>Restart the approved App Service through Azure Resource Manager using managed identity.</w:t>
            </w:r>
          </w:p>
        </w:tc>
      </w:tr>
      <w:tr>
        <w:tc>
          <w:tcPr>
            <w:tcW w:type="dxa" w:w="1152"/>
            <w:vAlign w:val="center"/>
            <w:shd w:fill="EAF0F8"/>
          </w:tcPr>
          <w:p>
            <w:r/>
            <w:r>
              <w:rPr>
                <w:b w:val="0"/>
                <w:sz w:val="18"/>
              </w:rPr>
              <w:t>Validate</w:t>
            </w:r>
          </w:p>
        </w:tc>
        <w:tc>
          <w:tcPr>
            <w:tcW w:type="dxa" w:w="2448"/>
            <w:vAlign w:val="center"/>
            <w:shd w:fill="EAF0F8"/>
          </w:tcPr>
          <w:p>
            <w:r/>
            <w:r>
              <w:rPr>
                <w:b w:val="0"/>
                <w:sz w:val="18"/>
              </w:rPr>
              <w:t>validation.py</w:t>
            </w:r>
          </w:p>
        </w:tc>
        <w:tc>
          <w:tcPr>
            <w:tcW w:type="dxa" w:w="6480"/>
            <w:vAlign w:val="center"/>
            <w:shd w:fill="EAF0F8"/>
          </w:tcPr>
          <w:p>
            <w:r/>
            <w:r>
              <w:rPr>
                <w:b w:val="0"/>
                <w:sz w:val="18"/>
              </w:rPr>
              <w:t>Probe the Azure-reported hostname over HTTPS until recovery or attempt exhaustion.</w:t>
            </w:r>
          </w:p>
        </w:tc>
      </w:tr>
      <w:tr>
        <w:tc>
          <w:tcPr>
            <w:tcW w:type="dxa" w:w="1152"/>
            <w:vAlign w:val="center"/>
          </w:tcPr>
          <w:p>
            <w:r/>
            <w:r>
              <w:rPr>
                <w:b w:val="0"/>
                <w:sz w:val="18"/>
              </w:rPr>
              <w:t>Record</w:t>
            </w:r>
          </w:p>
        </w:tc>
        <w:tc>
          <w:tcPr>
            <w:tcW w:type="dxa" w:w="2448"/>
            <w:vAlign w:val="center"/>
          </w:tcPr>
          <w:p>
            <w:r/>
            <w:r>
              <w:rPr>
                <w:b w:val="0"/>
                <w:sz w:val="18"/>
              </w:rPr>
              <w:t>orchestrator.py + state.py</w:t>
            </w:r>
          </w:p>
        </w:tc>
        <w:tc>
          <w:tcPr>
            <w:tcW w:type="dxa" w:w="6480"/>
            <w:vAlign w:val="center"/>
          </w:tcPr>
          <w:p>
            <w:r/>
            <w:r>
              <w:rPr>
                <w:b w:val="0"/>
                <w:sz w:val="18"/>
              </w:rPr>
              <w:t>Persist the final result and emit structured telemetry for dashboards and escalation.</w:t>
            </w:r>
          </w:p>
        </w:tc>
      </w:tr>
    </w:tbl>
    <w:p>
      <w:pPr>
        <w:spacing w:after="0"/>
      </w:pPr>
    </w:p>
    <w:p>
      <w:pPr>
        <w:pStyle w:val="CodeBlock"/>
      </w:pPr>
      <w:r>
        <w:t>Azure Monitor</w:t>
        <w:br/>
        <w:t xml:space="preserve">     │ common-schema alert</w:t>
        <w:br/>
        <w:t xml:space="preserve">     ▼</w:t>
        <w:br/>
        <w:t>HTTP Function → Alert Parser → Azure Resource Discovery → Policy Engine</w:t>
        <w:br/>
        <w:t xml:space="preserve">                                                      │</w:t>
        <w:br/>
        <w:t xml:space="preserve">                                      denied/dry-run ◄─┼─► approved</w:t>
        <w:br/>
        <w:t xml:space="preserve">                                                      │</w:t>
        <w:br/>
        <w:t xml:space="preserve">                                                      ▼</w:t>
        <w:br/>
        <w:t xml:space="preserve">                                      Table attempt reservation</w:t>
        <w:br/>
        <w:t xml:space="preserve">                                                      │</w:t>
        <w:br/>
        <w:t xml:space="preserve">                                      App Service restart</w:t>
        <w:br/>
        <w:t xml:space="preserve">                                                      │</w:t>
        <w:br/>
        <w:t xml:space="preserve">                                      HTTPS health validation</w:t>
        <w:br/>
        <w:t xml:space="preserve">                                                      │</w:t>
        <w:br/>
        <w:t xml:space="preserve">                          Application Insights + Table final outcome</w:t>
      </w:r>
    </w:p>
    <w:p>
      <w:pPr>
        <w:pStyle w:val="Heading1"/>
      </w:pPr>
      <w:r>
        <w:t>3. Repository Structure</w:t>
      </w:r>
    </w:p>
    <w:p>
      <w:pPr>
        <w:pStyle w:val="CodeBlock"/>
      </w:pPr>
      <w:r>
        <w:t>Infrastructure-Self-Healing-Agent/</w:t>
        <w:br/>
        <w:t>├── function_app.py</w:t>
        <w:br/>
        <w:t>├── host.json</w:t>
        <w:br/>
        <w:t>├── local.settings.example.json</w:t>
        <w:br/>
        <w:t>├── requirements.txt</w:t>
        <w:br/>
        <w:t>├── requirements-dev.txt</w:t>
        <w:br/>
        <w:t>├── pyproject.toml</w:t>
        <w:br/>
        <w:t>├── README.md</w:t>
        <w:br/>
        <w:t>├── .gitignore</w:t>
        <w:br/>
        <w:t>├── self_healing/</w:t>
        <w:br/>
        <w:t>│   ├── __init__.py</w:t>
        <w:br/>
        <w:t>│   ├── alerts.py</w:t>
        <w:br/>
        <w:t>│   ├── config.py</w:t>
        <w:br/>
        <w:t>│   ├── models.py</w:t>
        <w:br/>
        <w:t>│   ├── orchestrator.py</w:t>
        <w:br/>
        <w:t>│   ├── policy.py</w:t>
        <w:br/>
        <w:t>│   ├── resources.py</w:t>
        <w:br/>
        <w:t>│   ├── state.py</w:t>
        <w:br/>
        <w:t>│   └── validation.py</w:t>
        <w:br/>
        <w:t>├── infra/</w:t>
        <w:br/>
        <w:t>│   └── main.bicep</w:t>
        <w:br/>
        <w:t>├── tests/</w:t>
        <w:br/>
        <w:t>│   ├── test_alerts.py</w:t>
        <w:br/>
        <w:t>│   ├── test_policy.py</w:t>
        <w:br/>
        <w:t>│   └── test_orchestrator.py</w:t>
        <w:br/>
        <w:t>└── docs/</w:t>
        <w:br/>
        <w:t xml:space="preserve">    └── Repository_Architecture_and_Data_Flow.docx</w:t>
      </w:r>
    </w:p>
    <w:p>
      <w:r>
        <w:br w:type="page"/>
      </w:r>
    </w:p>
    <w:p>
      <w:pPr>
        <w:pStyle w:val="Heading1"/>
      </w:pPr>
      <w:r>
        <w:t>4. Repository Root</w:t>
      </w:r>
    </w:p>
    <w:p>
      <w:r>
        <w:t>The root contains the Azure Functions entry point, host/runtime configuration, dependency manifests, and operator-facing documentation.</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2F5597"/>
          </w:tcPr>
          <w:p>
            <w:r/>
            <w:r>
              <w:rPr>
                <w:b/>
                <w:color w:val="FFFFFF"/>
                <w:sz w:val="18"/>
              </w:rPr>
              <w:t>File</w:t>
            </w:r>
          </w:p>
        </w:tc>
        <w:tc>
          <w:tcPr>
            <w:tcW w:type="dxa" w:w="5472"/>
            <w:vAlign w:val="center"/>
            <w:shd w:fill="2F5597"/>
          </w:tcPr>
          <w:p>
            <w:r/>
            <w:r>
              <w:rPr>
                <w:b/>
                <w:color w:val="FFFFFF"/>
                <w:sz w:val="18"/>
              </w:rPr>
              <w:t>Responsibility</w:t>
            </w:r>
          </w:p>
        </w:tc>
        <w:tc>
          <w:tcPr>
            <w:tcW w:type="dxa" w:w="2160"/>
            <w:vAlign w:val="center"/>
            <w:shd w:fill="2F5597"/>
          </w:tcPr>
          <w:p>
            <w:r/>
            <w:r>
              <w:rPr>
                <w:b/>
                <w:color w:val="FFFFFF"/>
                <w:sz w:val="18"/>
              </w:rPr>
              <w:t>Used when</w:t>
            </w:r>
          </w:p>
        </w:tc>
      </w:tr>
      <w:tr>
        <w:tc>
          <w:tcPr>
            <w:tcW w:type="dxa" w:w="2448"/>
            <w:vAlign w:val="center"/>
          </w:tcPr>
          <w:p>
            <w:r/>
            <w:r>
              <w:rPr>
                <w:b w:val="0"/>
                <w:sz w:val="18"/>
              </w:rPr>
              <w:t>function_app.py</w:t>
            </w:r>
          </w:p>
        </w:tc>
        <w:tc>
          <w:tcPr>
            <w:tcW w:type="dxa" w:w="5472"/>
            <w:vAlign w:val="center"/>
          </w:tcPr>
          <w:p>
            <w:r/>
            <w:r>
              <w:rPr>
                <w:b w:val="0"/>
                <w:sz w:val="18"/>
              </w:rPr>
              <w:t>Defines HandleMonitorAlert, lazily constructs Azure clients, converts domain results to HTTP responses, and prevents internal exception details from leaking.</w:t>
            </w:r>
          </w:p>
        </w:tc>
        <w:tc>
          <w:tcPr>
            <w:tcW w:type="dxa" w:w="2160"/>
            <w:vAlign w:val="center"/>
          </w:tcPr>
          <w:p>
            <w:r/>
            <w:r>
              <w:rPr>
                <w:b w:val="0"/>
                <w:sz w:val="18"/>
              </w:rPr>
              <w:t>Every incoming alert invocation.</w:t>
            </w:r>
          </w:p>
        </w:tc>
      </w:tr>
      <w:tr>
        <w:tc>
          <w:tcPr>
            <w:tcW w:type="dxa" w:w="2448"/>
            <w:vAlign w:val="center"/>
            <w:shd w:fill="EAF0F8"/>
          </w:tcPr>
          <w:p>
            <w:r/>
            <w:r>
              <w:rPr>
                <w:b w:val="0"/>
                <w:sz w:val="18"/>
              </w:rPr>
              <w:t>host.json</w:t>
            </w:r>
          </w:p>
        </w:tc>
        <w:tc>
          <w:tcPr>
            <w:tcW w:type="dxa" w:w="5472"/>
            <w:vAlign w:val="center"/>
            <w:shd w:fill="EAF0F8"/>
          </w:tcPr>
          <w:p>
            <w:r/>
            <w:r>
              <w:rPr>
                <w:b w:val="0"/>
                <w:sz w:val="18"/>
              </w:rPr>
              <w:t>Sets Functions runtime v2 configuration, a five-minute timeout, HTTP route prefix, and Application Insights sampling behavior.</w:t>
            </w:r>
          </w:p>
        </w:tc>
        <w:tc>
          <w:tcPr>
            <w:tcW w:type="dxa" w:w="2160"/>
            <w:vAlign w:val="center"/>
            <w:shd w:fill="EAF0F8"/>
          </w:tcPr>
          <w:p>
            <w:r/>
            <w:r>
              <w:rPr>
                <w:b w:val="0"/>
                <w:sz w:val="18"/>
              </w:rPr>
              <w:t>Function host startup.</w:t>
            </w:r>
          </w:p>
        </w:tc>
      </w:tr>
      <w:tr>
        <w:tc>
          <w:tcPr>
            <w:tcW w:type="dxa" w:w="2448"/>
            <w:vAlign w:val="center"/>
          </w:tcPr>
          <w:p>
            <w:r/>
            <w:r>
              <w:rPr>
                <w:b w:val="0"/>
                <w:sz w:val="18"/>
              </w:rPr>
              <w:t>local.settings.example.json</w:t>
            </w:r>
          </w:p>
        </w:tc>
        <w:tc>
          <w:tcPr>
            <w:tcW w:type="dxa" w:w="5472"/>
            <w:vAlign w:val="center"/>
          </w:tcPr>
          <w:p>
            <w:r/>
            <w:r>
              <w:rPr>
                <w:b w:val="0"/>
                <w:sz w:val="18"/>
              </w:rPr>
              <w:t>Documents safe local defaults and required environment settings without storing credentials.</w:t>
            </w:r>
          </w:p>
        </w:tc>
        <w:tc>
          <w:tcPr>
            <w:tcW w:type="dxa" w:w="2160"/>
            <w:vAlign w:val="center"/>
          </w:tcPr>
          <w:p>
            <w:r/>
            <w:r>
              <w:rPr>
                <w:b w:val="0"/>
                <w:sz w:val="18"/>
              </w:rPr>
              <w:t>Local development; copied to ignored local.settings.json.</w:t>
            </w:r>
          </w:p>
        </w:tc>
      </w:tr>
      <w:tr>
        <w:tc>
          <w:tcPr>
            <w:tcW w:type="dxa" w:w="2448"/>
            <w:vAlign w:val="center"/>
            <w:shd w:fill="EAF0F8"/>
          </w:tcPr>
          <w:p>
            <w:r/>
            <w:r>
              <w:rPr>
                <w:b w:val="0"/>
                <w:sz w:val="18"/>
              </w:rPr>
              <w:t>requirements.txt</w:t>
            </w:r>
          </w:p>
        </w:tc>
        <w:tc>
          <w:tcPr>
            <w:tcW w:type="dxa" w:w="5472"/>
            <w:vAlign w:val="center"/>
            <w:shd w:fill="EAF0F8"/>
          </w:tcPr>
          <w:p>
            <w:r/>
            <w:r>
              <w:rPr>
                <w:b w:val="0"/>
                <w:sz w:val="18"/>
              </w:rPr>
              <w:t>Lists Azure runtime libraries: Functions, Identity, Resource Management, Web Management, and Tables.</w:t>
            </w:r>
          </w:p>
        </w:tc>
        <w:tc>
          <w:tcPr>
            <w:tcW w:type="dxa" w:w="2160"/>
            <w:vAlign w:val="center"/>
            <w:shd w:fill="EAF0F8"/>
          </w:tcPr>
          <w:p>
            <w:r/>
            <w:r>
              <w:rPr>
                <w:b w:val="0"/>
                <w:sz w:val="18"/>
              </w:rPr>
              <w:t>Remote build and production deployment.</w:t>
            </w:r>
          </w:p>
        </w:tc>
      </w:tr>
      <w:tr>
        <w:tc>
          <w:tcPr>
            <w:tcW w:type="dxa" w:w="2448"/>
            <w:vAlign w:val="center"/>
          </w:tcPr>
          <w:p>
            <w:r/>
            <w:r>
              <w:rPr>
                <w:b w:val="0"/>
                <w:sz w:val="18"/>
              </w:rPr>
              <w:t>requirements-dev.txt</w:t>
            </w:r>
          </w:p>
        </w:tc>
        <w:tc>
          <w:tcPr>
            <w:tcW w:type="dxa" w:w="5472"/>
            <w:vAlign w:val="center"/>
          </w:tcPr>
          <w:p>
            <w:r/>
            <w:r>
              <w:rPr>
                <w:b w:val="0"/>
                <w:sz w:val="18"/>
              </w:rPr>
              <w:t>Extends runtime dependencies with pytest and Ruff.</w:t>
            </w:r>
          </w:p>
        </w:tc>
        <w:tc>
          <w:tcPr>
            <w:tcW w:type="dxa" w:w="2160"/>
            <w:vAlign w:val="center"/>
          </w:tcPr>
          <w:p>
            <w:r/>
            <w:r>
              <w:rPr>
                <w:b w:val="0"/>
                <w:sz w:val="18"/>
              </w:rPr>
              <w:t>Developer and CI validation.</w:t>
            </w:r>
          </w:p>
        </w:tc>
      </w:tr>
      <w:tr>
        <w:tc>
          <w:tcPr>
            <w:tcW w:type="dxa" w:w="2448"/>
            <w:vAlign w:val="center"/>
            <w:shd w:fill="EAF0F8"/>
          </w:tcPr>
          <w:p>
            <w:r/>
            <w:r>
              <w:rPr>
                <w:b w:val="0"/>
                <w:sz w:val="18"/>
              </w:rPr>
              <w:t>pyproject.toml</w:t>
            </w:r>
          </w:p>
        </w:tc>
        <w:tc>
          <w:tcPr>
            <w:tcW w:type="dxa" w:w="5472"/>
            <w:vAlign w:val="center"/>
            <w:shd w:fill="EAF0F8"/>
          </w:tcPr>
          <w:p>
            <w:r/>
            <w:r>
              <w:rPr>
                <w:b w:val="0"/>
                <w:sz w:val="18"/>
              </w:rPr>
              <w:t>Configures pytest discovery and Ruff lint/format rules for Python 3.12.</w:t>
            </w:r>
          </w:p>
        </w:tc>
        <w:tc>
          <w:tcPr>
            <w:tcW w:type="dxa" w:w="2160"/>
            <w:vAlign w:val="center"/>
            <w:shd w:fill="EAF0F8"/>
          </w:tcPr>
          <w:p>
            <w:r/>
            <w:r>
              <w:rPr>
                <w:b w:val="0"/>
                <w:sz w:val="18"/>
              </w:rPr>
              <w:t>Tests and static analysis.</w:t>
            </w:r>
          </w:p>
        </w:tc>
      </w:tr>
      <w:tr>
        <w:tc>
          <w:tcPr>
            <w:tcW w:type="dxa" w:w="2448"/>
            <w:vAlign w:val="center"/>
          </w:tcPr>
          <w:p>
            <w:r/>
            <w:r>
              <w:rPr>
                <w:b w:val="0"/>
                <w:sz w:val="18"/>
              </w:rPr>
              <w:t>README.md</w:t>
            </w:r>
          </w:p>
        </w:tc>
        <w:tc>
          <w:tcPr>
            <w:tcW w:type="dxa" w:w="5472"/>
            <w:vAlign w:val="center"/>
          </w:tcPr>
          <w:p>
            <w:r/>
            <w:r>
              <w:rPr>
                <w:b w:val="0"/>
                <w:sz w:val="18"/>
              </w:rPr>
              <w:t>Explains safety tags, local execution, Bicep deployment, Action Group connection, rollout, and KQL.</w:t>
            </w:r>
          </w:p>
        </w:tc>
        <w:tc>
          <w:tcPr>
            <w:tcW w:type="dxa" w:w="2160"/>
            <w:vAlign w:val="center"/>
          </w:tcPr>
          <w:p>
            <w:r/>
            <w:r>
              <w:rPr>
                <w:b w:val="0"/>
                <w:sz w:val="18"/>
              </w:rPr>
              <w:t>Onboarding and operations.</w:t>
            </w:r>
          </w:p>
        </w:tc>
      </w:tr>
      <w:tr>
        <w:tc>
          <w:tcPr>
            <w:tcW w:type="dxa" w:w="2448"/>
            <w:vAlign w:val="center"/>
            <w:shd w:fill="EAF0F8"/>
          </w:tcPr>
          <w:p>
            <w:r/>
            <w:r>
              <w:rPr>
                <w:b w:val="0"/>
                <w:sz w:val="18"/>
              </w:rPr>
              <w:t>.gitignore</w:t>
            </w:r>
          </w:p>
        </w:tc>
        <w:tc>
          <w:tcPr>
            <w:tcW w:type="dxa" w:w="5472"/>
            <w:vAlign w:val="center"/>
            <w:shd w:fill="EAF0F8"/>
          </w:tcPr>
          <w:p>
            <w:r/>
            <w:r>
              <w:rPr>
                <w:b w:val="0"/>
                <w:sz w:val="18"/>
              </w:rPr>
              <w:t>Excludes virtual environments, caches, local secrets, and generated packages.</w:t>
            </w:r>
          </w:p>
        </w:tc>
        <w:tc>
          <w:tcPr>
            <w:tcW w:type="dxa" w:w="2160"/>
            <w:vAlign w:val="center"/>
            <w:shd w:fill="EAF0F8"/>
          </w:tcPr>
          <w:p>
            <w:r/>
            <w:r>
              <w:rPr>
                <w:b w:val="0"/>
                <w:sz w:val="18"/>
              </w:rPr>
              <w:t>All repository work.</w:t>
            </w:r>
          </w:p>
        </w:tc>
      </w:tr>
    </w:tbl>
    <w:p>
      <w:pPr>
        <w:spacing w:after="0"/>
      </w:pPr>
    </w:p>
    <w:p>
      <w:pPr>
        <w:pStyle w:val="Heading2"/>
      </w:pPr>
      <w:r>
        <w:t>4.1 Function Entry-Point Behavior</w:t>
      </w:r>
    </w:p>
    <w:p>
      <w:pPr>
        <w:pStyle w:val="ListNumber"/>
        <w:spacing w:after="60"/>
      </w:pPr>
      <w:r>
        <w:t>Azure Functions authenticates the POST request at function-key level.</w:t>
      </w:r>
    </w:p>
    <w:p>
      <w:pPr>
        <w:pStyle w:val="ListNumber"/>
        <w:spacing w:after="60"/>
      </w:pPr>
      <w:r>
        <w:t>The handler requires a JSON object and calls parse_common_alert().</w:t>
      </w:r>
    </w:p>
    <w:p>
      <w:pPr>
        <w:pStyle w:val="ListNumber"/>
        <w:spacing w:after="60"/>
      </w:pPr>
      <w:r>
        <w:t>The orchestrator is created once per warm worker and re-used across invocations.</w:t>
      </w:r>
    </w:p>
    <w:p>
      <w:pPr>
        <w:pStyle w:val="ListNumber"/>
        <w:spacing w:after="60"/>
      </w:pPr>
      <w:r>
        <w:t>A valid workflow result returns HTTP 200, including denied, dry-run, failed validation, and successful outcomes.</w:t>
      </w:r>
    </w:p>
    <w:p>
      <w:pPr>
        <w:pStyle w:val="ListNumber"/>
        <w:spacing w:after="60"/>
      </w:pPr>
      <w:r>
        <w:t>Malformed alerts return HTTP 400; unsupported resource targets return HTTP 422; unexpected processing failures return HTTP 500.</w:t>
      </w:r>
    </w:p>
    <w:p>
      <w:r>
        <w:t>Returning HTTP 200 for a completed but unsuccessful remediation is intentional: the alert was processed, and retry/escalation is controlled by the agent and monitoring rules rather than uncontrolled HTTP redelivery.</w:t>
      </w:r>
    </w:p>
    <w:p>
      <w:pPr>
        <w:pStyle w:val="Heading1"/>
      </w:pPr>
      <w:r>
        <w:t>5. self_healing Folder</w:t>
      </w:r>
    </w:p>
    <w:p>
      <w:r>
        <w:t>This package contains the domain model and the complete observe-decide-act-validate workflow. Azure SDK imports are kept near their use so domain tests can run with lightweight fakes.</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2F5597"/>
          </w:tcPr>
          <w:p>
            <w:r/>
            <w:r>
              <w:rPr>
                <w:b/>
                <w:color w:val="FFFFFF"/>
                <w:sz w:val="18"/>
              </w:rPr>
              <w:t>Module</w:t>
            </w:r>
          </w:p>
        </w:tc>
        <w:tc>
          <w:tcPr>
            <w:tcW w:type="dxa" w:w="2160"/>
            <w:vAlign w:val="center"/>
            <w:shd w:fill="2F5597"/>
          </w:tcPr>
          <w:p>
            <w:r/>
            <w:r>
              <w:rPr>
                <w:b/>
                <w:color w:val="FFFFFF"/>
                <w:sz w:val="18"/>
              </w:rPr>
              <w:t>Role</w:t>
            </w:r>
          </w:p>
        </w:tc>
        <w:tc>
          <w:tcPr>
            <w:tcW w:type="dxa" w:w="5904"/>
            <w:vAlign w:val="center"/>
            <w:shd w:fill="2F5597"/>
          </w:tcPr>
          <w:p>
            <w:r/>
            <w:r>
              <w:rPr>
                <w:b/>
                <w:color w:val="FFFFFF"/>
                <w:sz w:val="18"/>
              </w:rPr>
              <w:t>Detailed responsibility</w:t>
            </w:r>
          </w:p>
        </w:tc>
      </w:tr>
      <w:tr>
        <w:tc>
          <w:tcPr>
            <w:tcW w:type="dxa" w:w="2016"/>
            <w:vAlign w:val="center"/>
          </w:tcPr>
          <w:p>
            <w:r/>
            <w:r>
              <w:rPr>
                <w:b w:val="0"/>
                <w:sz w:val="18"/>
              </w:rPr>
              <w:t>__init__.py</w:t>
            </w:r>
          </w:p>
        </w:tc>
        <w:tc>
          <w:tcPr>
            <w:tcW w:type="dxa" w:w="2160"/>
            <w:vAlign w:val="center"/>
          </w:tcPr>
          <w:p>
            <w:r/>
            <w:r>
              <w:rPr>
                <w:b w:val="0"/>
                <w:sz w:val="18"/>
              </w:rPr>
              <w:t>Package boundary</w:t>
            </w:r>
          </w:p>
        </w:tc>
        <w:tc>
          <w:tcPr>
            <w:tcW w:type="dxa" w:w="5904"/>
            <w:vAlign w:val="center"/>
          </w:tcPr>
          <w:p>
            <w:r/>
            <w:r>
              <w:rPr>
                <w:b w:val="0"/>
                <w:sz w:val="18"/>
              </w:rPr>
              <w:t>Exports HealingOrchestrator as the package-level API.</w:t>
            </w:r>
          </w:p>
        </w:tc>
      </w:tr>
      <w:tr>
        <w:tc>
          <w:tcPr>
            <w:tcW w:type="dxa" w:w="2016"/>
            <w:vAlign w:val="center"/>
            <w:shd w:fill="EAF0F8"/>
          </w:tcPr>
          <w:p>
            <w:r/>
            <w:r>
              <w:rPr>
                <w:b w:val="0"/>
                <w:sz w:val="18"/>
              </w:rPr>
              <w:t>models.py</w:t>
            </w:r>
          </w:p>
        </w:tc>
        <w:tc>
          <w:tcPr>
            <w:tcW w:type="dxa" w:w="2160"/>
            <w:vAlign w:val="center"/>
            <w:shd w:fill="EAF0F8"/>
          </w:tcPr>
          <w:p>
            <w:r/>
            <w:r>
              <w:rPr>
                <w:b w:val="0"/>
                <w:sz w:val="18"/>
              </w:rPr>
              <w:t>Domain contracts</w:t>
            </w:r>
          </w:p>
        </w:tc>
        <w:tc>
          <w:tcPr>
            <w:tcW w:type="dxa" w:w="5904"/>
            <w:vAlign w:val="center"/>
            <w:shd w:fill="EAF0F8"/>
          </w:tcPr>
          <w:p>
            <w:r/>
            <w:r>
              <w:rPr>
                <w:b w:val="0"/>
                <w:sz w:val="18"/>
              </w:rPr>
              <w:t>Defines Alert, Resource, PolicyResult, HealingResult, Decision, and Outcome. HealingResult.as_dict() produces the stable audit payload.</w:t>
            </w:r>
          </w:p>
        </w:tc>
      </w:tr>
      <w:tr>
        <w:tc>
          <w:tcPr>
            <w:tcW w:type="dxa" w:w="2016"/>
            <w:vAlign w:val="center"/>
          </w:tcPr>
          <w:p>
            <w:r/>
            <w:r>
              <w:rPr>
                <w:b w:val="0"/>
                <w:sz w:val="18"/>
              </w:rPr>
              <w:t>alerts.py</w:t>
            </w:r>
          </w:p>
        </w:tc>
        <w:tc>
          <w:tcPr>
            <w:tcW w:type="dxa" w:w="2160"/>
            <w:vAlign w:val="center"/>
          </w:tcPr>
          <w:p>
            <w:r/>
            <w:r>
              <w:rPr>
                <w:b w:val="0"/>
                <w:sz w:val="18"/>
              </w:rPr>
              <w:t>Input validation</w:t>
            </w:r>
          </w:p>
        </w:tc>
        <w:tc>
          <w:tcPr>
            <w:tcW w:type="dxa" w:w="5904"/>
            <w:vAlign w:val="center"/>
          </w:tcPr>
          <w:p>
            <w:r/>
            <w:r>
              <w:rPr>
                <w:b w:val="0"/>
                <w:sz w:val="18"/>
              </w:rPr>
              <w:t>Parses Azure Monitor common alert schema, requires core fields, accepts exactly one target, normalizes the resource ID, and parses fired time.</w:t>
            </w:r>
          </w:p>
        </w:tc>
      </w:tr>
      <w:tr>
        <w:tc>
          <w:tcPr>
            <w:tcW w:type="dxa" w:w="2016"/>
            <w:vAlign w:val="center"/>
            <w:shd w:fill="EAF0F8"/>
          </w:tcPr>
          <w:p>
            <w:r/>
            <w:r>
              <w:rPr>
                <w:b w:val="0"/>
                <w:sz w:val="18"/>
              </w:rPr>
              <w:t>config.py</w:t>
            </w:r>
          </w:p>
        </w:tc>
        <w:tc>
          <w:tcPr>
            <w:tcW w:type="dxa" w:w="2160"/>
            <w:vAlign w:val="center"/>
            <w:shd w:fill="EAF0F8"/>
          </w:tcPr>
          <w:p>
            <w:r/>
            <w:r>
              <w:rPr>
                <w:b w:val="0"/>
                <w:sz w:val="18"/>
              </w:rPr>
              <w:t>Runtime policy configuration</w:t>
            </w:r>
          </w:p>
        </w:tc>
        <w:tc>
          <w:tcPr>
            <w:tcW w:type="dxa" w:w="5904"/>
            <w:vAlign w:val="center"/>
            <w:shd w:fill="EAF0F8"/>
          </w:tcPr>
          <w:p>
            <w:r/>
            <w:r>
              <w:rPr>
                <w:b w:val="0"/>
                <w:sz w:val="18"/>
              </w:rPr>
              <w:t>Reads environment variables into immutable Settings with safe defaults and minimum numeric bounds.</w:t>
            </w:r>
          </w:p>
        </w:tc>
      </w:tr>
      <w:tr>
        <w:tc>
          <w:tcPr>
            <w:tcW w:type="dxa" w:w="2016"/>
            <w:vAlign w:val="center"/>
          </w:tcPr>
          <w:p>
            <w:r/>
            <w:r>
              <w:rPr>
                <w:b w:val="0"/>
                <w:sz w:val="18"/>
              </w:rPr>
              <w:t>resources.py</w:t>
            </w:r>
          </w:p>
        </w:tc>
        <w:tc>
          <w:tcPr>
            <w:tcW w:type="dxa" w:w="2160"/>
            <w:vAlign w:val="center"/>
          </w:tcPr>
          <w:p>
            <w:r/>
            <w:r>
              <w:rPr>
                <w:b w:val="0"/>
                <w:sz w:val="18"/>
              </w:rPr>
              <w:t>Azure discovery and action</w:t>
            </w:r>
          </w:p>
        </w:tc>
        <w:tc>
          <w:tcPr>
            <w:tcW w:type="dxa" w:w="5904"/>
            <w:vAlign w:val="center"/>
          </w:tcPr>
          <w:p>
            <w:r/>
            <w:r>
              <w:rPr>
                <w:b w:val="0"/>
                <w:sz w:val="18"/>
              </w:rPr>
              <w:t>Parses top-level Azure resource IDs, supports only Microsoft.Web/sites, retrieves tags and hostname, and invokes restart.</w:t>
            </w:r>
          </w:p>
        </w:tc>
      </w:tr>
      <w:tr>
        <w:tc>
          <w:tcPr>
            <w:tcW w:type="dxa" w:w="2016"/>
            <w:vAlign w:val="center"/>
            <w:shd w:fill="EAF0F8"/>
          </w:tcPr>
          <w:p>
            <w:r/>
            <w:r>
              <w:rPr>
                <w:b w:val="0"/>
                <w:sz w:val="18"/>
              </w:rPr>
              <w:t>policy.py</w:t>
            </w:r>
          </w:p>
        </w:tc>
        <w:tc>
          <w:tcPr>
            <w:tcW w:type="dxa" w:w="2160"/>
            <w:vAlign w:val="center"/>
            <w:shd w:fill="EAF0F8"/>
          </w:tcPr>
          <w:p>
            <w:r/>
            <w:r>
              <w:rPr>
                <w:b w:val="0"/>
                <w:sz w:val="18"/>
              </w:rPr>
              <w:t>Fail-closed decision engine</w:t>
            </w:r>
          </w:p>
        </w:tc>
        <w:tc>
          <w:tcPr>
            <w:tcW w:type="dxa" w:w="5904"/>
            <w:vAlign w:val="center"/>
            <w:shd w:fill="EAF0F8"/>
          </w:tcPr>
          <w:p>
            <w:r/>
            <w:r>
              <w:rPr>
                <w:b w:val="0"/>
                <w:sz w:val="18"/>
              </w:rPr>
              <w:t>Checks fired state, severity, opt-in/action tags, exact alert-rule allowlist, pause flag, environment allowlist, and dry-run mode.</w:t>
            </w:r>
          </w:p>
        </w:tc>
      </w:tr>
      <w:tr>
        <w:tc>
          <w:tcPr>
            <w:tcW w:type="dxa" w:w="2016"/>
            <w:vAlign w:val="center"/>
          </w:tcPr>
          <w:p>
            <w:r/>
            <w:r>
              <w:rPr>
                <w:b w:val="0"/>
                <w:sz w:val="18"/>
              </w:rPr>
              <w:t>state.py</w:t>
            </w:r>
          </w:p>
        </w:tc>
        <w:tc>
          <w:tcPr>
            <w:tcW w:type="dxa" w:w="2160"/>
            <w:vAlign w:val="center"/>
          </w:tcPr>
          <w:p>
            <w:r/>
            <w:r>
              <w:rPr>
                <w:b w:val="0"/>
                <w:sz w:val="18"/>
              </w:rPr>
              <w:t>Durable safety ledger</w:t>
            </w:r>
          </w:p>
        </w:tc>
        <w:tc>
          <w:tcPr>
            <w:tcW w:type="dxa" w:w="5904"/>
            <w:vAlign w:val="center"/>
          </w:tcPr>
          <w:p>
            <w:r/>
            <w:r>
              <w:rPr>
                <w:b w:val="0"/>
                <w:sz w:val="18"/>
              </w:rPr>
              <w:t>Hashes resource and alert identifiers, atomically deduplicates alert IDs, counts attempts inside the cooldown, and records final status.</w:t>
            </w:r>
          </w:p>
        </w:tc>
      </w:tr>
      <w:tr>
        <w:tc>
          <w:tcPr>
            <w:tcW w:type="dxa" w:w="2016"/>
            <w:vAlign w:val="center"/>
            <w:shd w:fill="EAF0F8"/>
          </w:tcPr>
          <w:p>
            <w:r/>
            <w:r>
              <w:rPr>
                <w:b w:val="0"/>
                <w:sz w:val="18"/>
              </w:rPr>
              <w:t>validation.py</w:t>
            </w:r>
          </w:p>
        </w:tc>
        <w:tc>
          <w:tcPr>
            <w:tcW w:type="dxa" w:w="2160"/>
            <w:vAlign w:val="center"/>
            <w:shd w:fill="EAF0F8"/>
          </w:tcPr>
          <w:p>
            <w:r/>
            <w:r>
              <w:rPr>
                <w:b w:val="0"/>
                <w:sz w:val="18"/>
              </w:rPr>
              <w:t>Recovery proof</w:t>
            </w:r>
          </w:p>
        </w:tc>
        <w:tc>
          <w:tcPr>
            <w:tcW w:type="dxa" w:w="5904"/>
            <w:vAlign w:val="center"/>
            <w:shd w:fill="EAF0F8"/>
          </w:tcPr>
          <w:p>
            <w:r/>
            <w:r>
              <w:rPr>
                <w:b w:val="0"/>
                <w:sz w:val="18"/>
              </w:rPr>
              <w:t>Builds only an HTTPS URL from the Azure-reported hostname plus a constrained relative path, waits for stabilization, and retries health probes.</w:t>
            </w:r>
          </w:p>
        </w:tc>
      </w:tr>
      <w:tr>
        <w:tc>
          <w:tcPr>
            <w:tcW w:type="dxa" w:w="2016"/>
            <w:vAlign w:val="center"/>
          </w:tcPr>
          <w:p>
            <w:r/>
            <w:r>
              <w:rPr>
                <w:b w:val="0"/>
                <w:sz w:val="18"/>
              </w:rPr>
              <w:t>orchestrator.py</w:t>
            </w:r>
          </w:p>
        </w:tc>
        <w:tc>
          <w:tcPr>
            <w:tcW w:type="dxa" w:w="2160"/>
            <w:vAlign w:val="center"/>
          </w:tcPr>
          <w:p>
            <w:r/>
            <w:r>
              <w:rPr>
                <w:b w:val="0"/>
                <w:sz w:val="18"/>
              </w:rPr>
              <w:t>Workflow coordinator</w:t>
            </w:r>
          </w:p>
        </w:tc>
        <w:tc>
          <w:tcPr>
            <w:tcW w:type="dxa" w:w="5904"/>
            <w:vAlign w:val="center"/>
          </w:tcPr>
          <w:p>
            <w:r/>
            <w:r>
              <w:rPr>
                <w:b w:val="0"/>
                <w:sz w:val="18"/>
              </w:rPr>
              <w:t>Joins discovery, policy, state, restart, validation, result persistence, and structured logging without embedding Azure SDK details.</w:t>
            </w:r>
          </w:p>
        </w:tc>
      </w:tr>
    </w:tbl>
    <w:p>
      <w:pPr>
        <w:spacing w:after="0"/>
      </w:pPr>
    </w:p>
    <w:p>
      <w:pPr>
        <w:pStyle w:val="Heading2"/>
      </w:pPr>
      <w:r>
        <w:t>5.1 Module Dependency Direction</w:t>
      </w:r>
    </w:p>
    <w:p>
      <w:pPr>
        <w:pStyle w:val="CodeBlock"/>
      </w:pPr>
      <w:r>
        <w:t>function_app.py</w:t>
        <w:br/>
        <w:t xml:space="preserve">  ├─ config.py</w:t>
        <w:br/>
        <w:t xml:space="preserve">  ├─ alerts.py ───────────────┐</w:t>
        <w:br/>
        <w:t xml:space="preserve">  ├─ resources.py             │</w:t>
        <w:br/>
        <w:t xml:space="preserve">  ├─ state.py                 ├─ models.py</w:t>
        <w:br/>
        <w:t xml:space="preserve">  ├─ validation.py            │</w:t>
        <w:br/>
        <w:t xml:space="preserve">  └─ orchestrator.py ─ policy.py</w:t>
        <w:br/>
        <w:br/>
        <w:t>orchestrator.py depends on protocols (ResourceService, StateStore, Validator),</w:t>
        <w:br/>
        <w:t>which allows unit tests to replace all network and Azure dependencies.</w:t>
      </w:r>
    </w:p>
    <w:p>
      <w:pPr>
        <w:pStyle w:val="Heading2"/>
      </w:pPr>
      <w:r>
        <w:t>5.2 Domain Result Fields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2F5597"/>
          </w:tcPr>
          <w:p>
            <w:r/>
            <w:r>
              <w:rPr>
                <w:b/>
                <w:color w:val="FFFFFF"/>
                <w:sz w:val="18"/>
              </w:rPr>
              <w:t>Field</w:t>
            </w:r>
          </w:p>
        </w:tc>
        <w:tc>
          <w:tcPr>
            <w:tcW w:type="dxa" w:w="7200"/>
            <w:vAlign w:val="center"/>
            <w:shd w:fill="2F5597"/>
          </w:tcPr>
          <w:p>
            <w:r/>
            <w:r>
              <w:rPr>
                <w:b/>
                <w:color w:val="FFFFFF"/>
                <w:sz w:val="18"/>
              </w:rPr>
              <w:t>Meaning</w:t>
            </w:r>
          </w:p>
        </w:tc>
      </w:tr>
      <w:tr>
        <w:tc>
          <w:tcPr>
            <w:tcW w:type="dxa" w:w="2880"/>
            <w:vAlign w:val="center"/>
          </w:tcPr>
          <w:p>
            <w:r/>
            <w:r>
              <w:rPr>
                <w:b w:val="0"/>
                <w:sz w:val="18"/>
              </w:rPr>
              <w:t>alertId</w:t>
            </w:r>
          </w:p>
        </w:tc>
        <w:tc>
          <w:tcPr>
            <w:tcW w:type="dxa" w:w="7200"/>
            <w:vAlign w:val="center"/>
          </w:tcPr>
          <w:p>
            <w:r/>
            <w:r>
              <w:rPr>
                <w:b w:val="0"/>
                <w:sz w:val="18"/>
              </w:rPr>
              <w:t>Azure Monitor alert identity used for deduplication and correlation.</w:t>
            </w:r>
          </w:p>
        </w:tc>
      </w:tr>
      <w:tr>
        <w:tc>
          <w:tcPr>
            <w:tcW w:type="dxa" w:w="2880"/>
            <w:vAlign w:val="center"/>
            <w:shd w:fill="EAF0F8"/>
          </w:tcPr>
          <w:p>
            <w:r/>
            <w:r>
              <w:rPr>
                <w:b w:val="0"/>
                <w:sz w:val="18"/>
              </w:rPr>
              <w:t>resourceId</w:t>
            </w:r>
          </w:p>
        </w:tc>
        <w:tc>
          <w:tcPr>
            <w:tcW w:type="dxa" w:w="7200"/>
            <w:vAlign w:val="center"/>
            <w:shd w:fill="EAF0F8"/>
          </w:tcPr>
          <w:p>
            <w:r/>
            <w:r>
              <w:rPr>
                <w:b w:val="0"/>
                <w:sz w:val="18"/>
              </w:rPr>
              <w:t>Canonical target Azure resource ID.</w:t>
            </w:r>
          </w:p>
        </w:tc>
      </w:tr>
      <w:tr>
        <w:tc>
          <w:tcPr>
            <w:tcW w:type="dxa" w:w="2880"/>
            <w:vAlign w:val="center"/>
          </w:tcPr>
          <w:p>
            <w:r/>
            <w:r>
              <w:rPr>
                <w:b w:val="0"/>
                <w:sz w:val="18"/>
              </w:rPr>
              <w:t>decision</w:t>
            </w:r>
          </w:p>
        </w:tc>
        <w:tc>
          <w:tcPr>
            <w:tcW w:type="dxa" w:w="7200"/>
            <w:vAlign w:val="center"/>
          </w:tcPr>
          <w:p>
            <w:r/>
            <w:r>
              <w:rPr>
                <w:b w:val="0"/>
                <w:sz w:val="18"/>
              </w:rPr>
              <w:t>approved, denied, or dry_run.</w:t>
            </w:r>
          </w:p>
        </w:tc>
      </w:tr>
      <w:tr>
        <w:tc>
          <w:tcPr>
            <w:tcW w:type="dxa" w:w="2880"/>
            <w:vAlign w:val="center"/>
            <w:shd w:fill="EAF0F8"/>
          </w:tcPr>
          <w:p>
            <w:r/>
            <w:r>
              <w:rPr>
                <w:b w:val="0"/>
                <w:sz w:val="18"/>
              </w:rPr>
              <w:t>outcome</w:t>
            </w:r>
          </w:p>
        </w:tc>
        <w:tc>
          <w:tcPr>
            <w:tcW w:type="dxa" w:w="7200"/>
            <w:vAlign w:val="center"/>
            <w:shd w:fill="EAF0F8"/>
          </w:tcPr>
          <w:p>
            <w:r/>
            <w:r>
              <w:rPr>
                <w:b w:val="0"/>
                <w:sz w:val="18"/>
              </w:rPr>
              <w:t>skipped, succeeded, or failed.</w:t>
            </w:r>
          </w:p>
        </w:tc>
      </w:tr>
      <w:tr>
        <w:tc>
          <w:tcPr>
            <w:tcW w:type="dxa" w:w="2880"/>
            <w:vAlign w:val="center"/>
          </w:tcPr>
          <w:p>
            <w:r/>
            <w:r>
              <w:rPr>
                <w:b w:val="0"/>
                <w:sz w:val="18"/>
              </w:rPr>
              <w:t>reason</w:t>
            </w:r>
          </w:p>
        </w:tc>
        <w:tc>
          <w:tcPr>
            <w:tcW w:type="dxa" w:w="7200"/>
            <w:vAlign w:val="center"/>
          </w:tcPr>
          <w:p>
            <w:r/>
            <w:r>
              <w:rPr>
                <w:b w:val="0"/>
                <w:sz w:val="18"/>
              </w:rPr>
              <w:t>Human-readable bounded explanation; exception messages are not exposed.</w:t>
            </w:r>
          </w:p>
        </w:tc>
      </w:tr>
      <w:tr>
        <w:tc>
          <w:tcPr>
            <w:tcW w:type="dxa" w:w="2880"/>
            <w:vAlign w:val="center"/>
            <w:shd w:fill="EAF0F8"/>
          </w:tcPr>
          <w:p>
            <w:r/>
            <w:r>
              <w:rPr>
                <w:b w:val="0"/>
                <w:sz w:val="18"/>
              </w:rPr>
              <w:t>action</w:t>
            </w:r>
          </w:p>
        </w:tc>
        <w:tc>
          <w:tcPr>
            <w:tcW w:type="dxa" w:w="7200"/>
            <w:vAlign w:val="center"/>
            <w:shd w:fill="EAF0F8"/>
          </w:tcPr>
          <w:p>
            <w:r/>
            <w:r>
              <w:rPr>
                <w:b w:val="0"/>
                <w:sz w:val="18"/>
              </w:rPr>
              <w:t>Current action type: restart.</w:t>
            </w:r>
          </w:p>
        </w:tc>
      </w:tr>
      <w:tr>
        <w:tc>
          <w:tcPr>
            <w:tcW w:type="dxa" w:w="2880"/>
            <w:vAlign w:val="center"/>
          </w:tcPr>
          <w:p>
            <w:r/>
            <w:r>
              <w:rPr>
                <w:b w:val="0"/>
                <w:sz w:val="18"/>
              </w:rPr>
              <w:t>validationStatus</w:t>
            </w:r>
          </w:p>
        </w:tc>
        <w:tc>
          <w:tcPr>
            <w:tcW w:type="dxa" w:w="7200"/>
            <w:vAlign w:val="center"/>
          </w:tcPr>
          <w:p>
            <w:r/>
            <w:r>
              <w:rPr>
                <w:b w:val="0"/>
                <w:sz w:val="18"/>
              </w:rPr>
              <w:t>not_run, passed, or failed.</w:t>
            </w:r>
          </w:p>
        </w:tc>
      </w:tr>
      <w:tr>
        <w:tc>
          <w:tcPr>
            <w:tcW w:type="dxa" w:w="2880"/>
            <w:vAlign w:val="center"/>
            <w:shd w:fill="EAF0F8"/>
          </w:tcPr>
          <w:p>
            <w:r/>
            <w:r>
              <w:rPr>
                <w:b w:val="0"/>
                <w:sz w:val="18"/>
              </w:rPr>
              <w:t>attemptCount</w:t>
            </w:r>
          </w:p>
        </w:tc>
        <w:tc>
          <w:tcPr>
            <w:tcW w:type="dxa" w:w="7200"/>
            <w:vAlign w:val="center"/>
            <w:shd w:fill="EAF0F8"/>
          </w:tcPr>
          <w:p>
            <w:r/>
            <w:r>
              <w:rPr>
                <w:b w:val="0"/>
                <w:sz w:val="18"/>
              </w:rPr>
              <w:t>Number of attempts for the target inside the active cooldown window.</w:t>
            </w:r>
          </w:p>
        </w:tc>
      </w:tr>
      <w:tr>
        <w:tc>
          <w:tcPr>
            <w:tcW w:type="dxa" w:w="2880"/>
            <w:vAlign w:val="center"/>
          </w:tcPr>
          <w:p>
            <w:r/>
            <w:r>
              <w:rPr>
                <w:b w:val="0"/>
                <w:sz w:val="18"/>
              </w:rPr>
              <w:t>startedAt / completedAt</w:t>
            </w:r>
          </w:p>
        </w:tc>
        <w:tc>
          <w:tcPr>
            <w:tcW w:type="dxa" w:w="7200"/>
            <w:vAlign w:val="center"/>
          </w:tcPr>
          <w:p>
            <w:r/>
            <w:r>
              <w:rPr>
                <w:b w:val="0"/>
                <w:sz w:val="18"/>
              </w:rPr>
              <w:t>UTC timestamps for latency and audit analysis.</w:t>
            </w:r>
          </w:p>
        </w:tc>
      </w:tr>
    </w:tbl>
    <w:p>
      <w:pPr>
        <w:spacing w:after="0"/>
      </w:pPr>
    </w:p>
    <w:p>
      <w:r>
        <w:br w:type="page"/>
      </w:r>
    </w:p>
    <w:p>
      <w:pPr>
        <w:pStyle w:val="Heading1"/>
      </w:pPr>
      <w:r>
        <w:t>6. infra Folder</w:t>
      </w:r>
    </w:p>
    <w:p>
      <w:r>
        <w:t>infra/main.bicep deploys the Azure control plane required by the application. Application code is deployed separately as a zip package after infrastructure creation.</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2F5597"/>
          </w:tcPr>
          <w:p>
            <w:r/>
            <w:r>
              <w:rPr>
                <w:b/>
                <w:color w:val="FFFFFF"/>
                <w:sz w:val="18"/>
              </w:rPr>
              <w:t>Azure resource</w:t>
            </w:r>
          </w:p>
        </w:tc>
        <w:tc>
          <w:tcPr>
            <w:tcW w:type="dxa" w:w="3312"/>
            <w:vAlign w:val="center"/>
            <w:shd w:fill="2F5597"/>
          </w:tcPr>
          <w:p>
            <w:r/>
            <w:r>
              <w:rPr>
                <w:b/>
                <w:color w:val="FFFFFF"/>
                <w:sz w:val="18"/>
              </w:rPr>
              <w:t>Purpose</w:t>
            </w:r>
          </w:p>
        </w:tc>
        <w:tc>
          <w:tcPr>
            <w:tcW w:type="dxa" w:w="4176"/>
            <w:vAlign w:val="center"/>
            <w:shd w:fill="2F5597"/>
          </w:tcPr>
          <w:p>
            <w:r/>
            <w:r>
              <w:rPr>
                <w:b/>
                <w:color w:val="FFFFFF"/>
                <w:sz w:val="18"/>
              </w:rPr>
              <w:t>Key security/configuration</w:t>
            </w:r>
          </w:p>
        </w:tc>
      </w:tr>
      <w:tr>
        <w:tc>
          <w:tcPr>
            <w:tcW w:type="dxa" w:w="2592"/>
            <w:vAlign w:val="center"/>
          </w:tcPr>
          <w:p>
            <w:r/>
            <w:r>
              <w:rPr>
                <w:b w:val="0"/>
                <w:sz w:val="18"/>
              </w:rPr>
              <w:t>Log Analytics workspace</w:t>
            </w:r>
          </w:p>
        </w:tc>
        <w:tc>
          <w:tcPr>
            <w:tcW w:type="dxa" w:w="3312"/>
            <w:vAlign w:val="center"/>
          </w:tcPr>
          <w:p>
            <w:r/>
            <w:r>
              <w:rPr>
                <w:b w:val="0"/>
                <w:sz w:val="18"/>
              </w:rPr>
              <w:t>Central query and retention store.</w:t>
            </w:r>
          </w:p>
        </w:tc>
        <w:tc>
          <w:tcPr>
            <w:tcW w:type="dxa" w:w="4176"/>
            <w:vAlign w:val="center"/>
          </w:tcPr>
          <w:p>
            <w:r/>
            <w:r>
              <w:rPr>
                <w:b w:val="0"/>
                <w:sz w:val="18"/>
              </w:rPr>
              <w:t>30-day retention and resource-permission log access.</w:t>
            </w:r>
          </w:p>
        </w:tc>
      </w:tr>
      <w:tr>
        <w:tc>
          <w:tcPr>
            <w:tcW w:type="dxa" w:w="2592"/>
            <w:vAlign w:val="center"/>
            <w:shd w:fill="EAF0F8"/>
          </w:tcPr>
          <w:p>
            <w:r/>
            <w:r>
              <w:rPr>
                <w:b w:val="0"/>
                <w:sz w:val="18"/>
              </w:rPr>
              <w:t>Application Insights</w:t>
            </w:r>
          </w:p>
        </w:tc>
        <w:tc>
          <w:tcPr>
            <w:tcW w:type="dxa" w:w="3312"/>
            <w:vAlign w:val="center"/>
            <w:shd w:fill="EAF0F8"/>
          </w:tcPr>
          <w:p>
            <w:r/>
            <w:r>
              <w:rPr>
                <w:b w:val="0"/>
                <w:sz w:val="18"/>
              </w:rPr>
              <w:t>Function telemetry, traces, failures, and custom dimensions.</w:t>
            </w:r>
          </w:p>
        </w:tc>
        <w:tc>
          <w:tcPr>
            <w:tcW w:type="dxa" w:w="4176"/>
            <w:vAlign w:val="center"/>
            <w:shd w:fill="EAF0F8"/>
          </w:tcPr>
          <w:p>
            <w:r/>
            <w:r>
              <w:rPr>
                <w:b w:val="0"/>
                <w:sz w:val="18"/>
              </w:rPr>
              <w:t>Workspace-based configuration.</w:t>
            </w:r>
          </w:p>
        </w:tc>
      </w:tr>
      <w:tr>
        <w:tc>
          <w:tcPr>
            <w:tcW w:type="dxa" w:w="2592"/>
            <w:vAlign w:val="center"/>
          </w:tcPr>
          <w:p>
            <w:r/>
            <w:r>
              <w:rPr>
                <w:b w:val="0"/>
                <w:sz w:val="18"/>
              </w:rPr>
              <w:t>Storage account</w:t>
            </w:r>
          </w:p>
        </w:tc>
        <w:tc>
          <w:tcPr>
            <w:tcW w:type="dxa" w:w="3312"/>
            <w:vAlign w:val="center"/>
          </w:tcPr>
          <w:p>
            <w:r/>
            <w:r>
              <w:rPr>
                <w:b w:val="0"/>
                <w:sz w:val="18"/>
              </w:rPr>
              <w:t>Functions host state and the healing attempt ledger.</w:t>
            </w:r>
          </w:p>
        </w:tc>
        <w:tc>
          <w:tcPr>
            <w:tcW w:type="dxa" w:w="4176"/>
            <w:vAlign w:val="center"/>
          </w:tcPr>
          <w:p>
            <w:r/>
            <w:r>
              <w:rPr>
                <w:b w:val="0"/>
                <w:sz w:val="18"/>
              </w:rPr>
              <w:t>TLS 1.2, HTTPS-only, public blob access disabled, shared keys disabled.</w:t>
            </w:r>
          </w:p>
        </w:tc>
      </w:tr>
      <w:tr>
        <w:tc>
          <w:tcPr>
            <w:tcW w:type="dxa" w:w="2592"/>
            <w:vAlign w:val="center"/>
            <w:shd w:fill="EAF0F8"/>
          </w:tcPr>
          <w:p>
            <w:r/>
            <w:r>
              <w:rPr>
                <w:b w:val="0"/>
                <w:sz w:val="18"/>
              </w:rPr>
              <w:t>Consumption plan</w:t>
            </w:r>
          </w:p>
        </w:tc>
        <w:tc>
          <w:tcPr>
            <w:tcW w:type="dxa" w:w="3312"/>
            <w:vAlign w:val="center"/>
            <w:shd w:fill="EAF0F8"/>
          </w:tcPr>
          <w:p>
            <w:r/>
            <w:r>
              <w:rPr>
                <w:b w:val="0"/>
                <w:sz w:val="18"/>
              </w:rPr>
              <w:t>Serverless Linux compute.</w:t>
            </w:r>
          </w:p>
        </w:tc>
        <w:tc>
          <w:tcPr>
            <w:tcW w:type="dxa" w:w="4176"/>
            <w:vAlign w:val="center"/>
            <w:shd w:fill="EAF0F8"/>
          </w:tcPr>
          <w:p>
            <w:r/>
            <w:r>
              <w:rPr>
                <w:b w:val="0"/>
                <w:sz w:val="18"/>
              </w:rPr>
              <w:t>Y1 Dynamic SKU.</w:t>
            </w:r>
          </w:p>
        </w:tc>
      </w:tr>
      <w:tr>
        <w:tc>
          <w:tcPr>
            <w:tcW w:type="dxa" w:w="2592"/>
            <w:vAlign w:val="center"/>
          </w:tcPr>
          <w:p>
            <w:r/>
            <w:r>
              <w:rPr>
                <w:b w:val="0"/>
                <w:sz w:val="18"/>
              </w:rPr>
              <w:t>Function App</w:t>
            </w:r>
          </w:p>
        </w:tc>
        <w:tc>
          <w:tcPr>
            <w:tcW w:type="dxa" w:w="3312"/>
            <w:vAlign w:val="center"/>
          </w:tcPr>
          <w:p>
            <w:r/>
            <w:r>
              <w:rPr>
                <w:b w:val="0"/>
                <w:sz w:val="18"/>
              </w:rPr>
              <w:t>Runs Python 3.12 and HandleMonitorAlert.</w:t>
            </w:r>
          </w:p>
        </w:tc>
        <w:tc>
          <w:tcPr>
            <w:tcW w:type="dxa" w:w="4176"/>
            <w:vAlign w:val="center"/>
          </w:tcPr>
          <w:p>
            <w:r/>
            <w:r>
              <w:rPr>
                <w:b w:val="0"/>
                <w:sz w:val="18"/>
              </w:rPr>
              <w:t>System-assigned managed identity, HTTPS-only, FTPS disabled, identity-based storage.</w:t>
            </w:r>
          </w:p>
        </w:tc>
      </w:tr>
      <w:tr>
        <w:tc>
          <w:tcPr>
            <w:tcW w:type="dxa" w:w="2592"/>
            <w:vAlign w:val="center"/>
            <w:shd w:fill="EAF0F8"/>
          </w:tcPr>
          <w:p>
            <w:r/>
            <w:r>
              <w:rPr>
                <w:b w:val="0"/>
                <w:sz w:val="18"/>
              </w:rPr>
              <w:t>Storage role assignments</w:t>
            </w:r>
          </w:p>
        </w:tc>
        <w:tc>
          <w:tcPr>
            <w:tcW w:type="dxa" w:w="3312"/>
            <w:vAlign w:val="center"/>
            <w:shd w:fill="EAF0F8"/>
          </w:tcPr>
          <w:p>
            <w:r/>
            <w:r>
              <w:rPr>
                <w:b w:val="0"/>
                <w:sz w:val="18"/>
              </w:rPr>
              <w:t>Allow the Function host and table ledger to operate.</w:t>
            </w:r>
          </w:p>
        </w:tc>
        <w:tc>
          <w:tcPr>
            <w:tcW w:type="dxa" w:w="4176"/>
            <w:vAlign w:val="center"/>
            <w:shd w:fill="EAF0F8"/>
          </w:tcPr>
          <w:p>
            <w:r/>
            <w:r>
              <w:rPr>
                <w:b w:val="0"/>
                <w:sz w:val="18"/>
              </w:rPr>
              <w:t>Blob Data Owner, Queue Data Contributor, Storage Account Contributor, Table Data Contributor.</w:t>
            </w:r>
          </w:p>
        </w:tc>
      </w:tr>
      <w:tr>
        <w:tc>
          <w:tcPr>
            <w:tcW w:type="dxa" w:w="2592"/>
            <w:vAlign w:val="center"/>
          </w:tcPr>
          <w:p>
            <w:r/>
            <w:r>
              <w:rPr>
                <w:b w:val="0"/>
                <w:sz w:val="18"/>
              </w:rPr>
              <w:t>Custom remediation role</w:t>
            </w:r>
          </w:p>
        </w:tc>
        <w:tc>
          <w:tcPr>
            <w:tcW w:type="dxa" w:w="3312"/>
            <w:vAlign w:val="center"/>
          </w:tcPr>
          <w:p>
            <w:r/>
            <w:r>
              <w:rPr>
                <w:b w:val="0"/>
                <w:sz w:val="18"/>
              </w:rPr>
              <w:t>Allows discovery and restart without broad Contributor access.</w:t>
            </w:r>
          </w:p>
        </w:tc>
        <w:tc>
          <w:tcPr>
            <w:tcW w:type="dxa" w:w="4176"/>
            <w:vAlign w:val="center"/>
          </w:tcPr>
          <w:p>
            <w:r/>
            <w:r>
              <w:rPr>
                <w:b w:val="0"/>
                <w:sz w:val="18"/>
              </w:rPr>
              <w:t>Resource/read, Web App/read, and Web App/restart actions only.</w:t>
            </w:r>
          </w:p>
        </w:tc>
      </w:tr>
      <w:tr>
        <w:tc>
          <w:tcPr>
            <w:tcW w:type="dxa" w:w="2592"/>
            <w:vAlign w:val="center"/>
            <w:shd w:fill="EAF0F8"/>
          </w:tcPr>
          <w:p>
            <w:r/>
            <w:r>
              <w:rPr>
                <w:b w:val="0"/>
                <w:sz w:val="18"/>
              </w:rPr>
              <w:t>Remediation role assignment</w:t>
            </w:r>
          </w:p>
        </w:tc>
        <w:tc>
          <w:tcPr>
            <w:tcW w:type="dxa" w:w="3312"/>
            <w:vAlign w:val="center"/>
            <w:shd w:fill="EAF0F8"/>
          </w:tcPr>
          <w:p>
            <w:r/>
            <w:r>
              <w:rPr>
                <w:b w:val="0"/>
                <w:sz w:val="18"/>
              </w:rPr>
              <w:t>Grants the custom role to the Function identity.</w:t>
            </w:r>
          </w:p>
        </w:tc>
        <w:tc>
          <w:tcPr>
            <w:tcW w:type="dxa" w:w="4176"/>
            <w:vAlign w:val="center"/>
            <w:shd w:fill="EAF0F8"/>
          </w:tcPr>
          <w:p>
            <w:r/>
            <w:r>
              <w:rPr>
                <w:b w:val="0"/>
                <w:sz w:val="18"/>
              </w:rPr>
              <w:t>Resource-group scope by default; can be narrowed per App Service.</w:t>
            </w:r>
          </w:p>
        </w:tc>
      </w:tr>
    </w:tbl>
    <w:p>
      <w:pPr>
        <w:spacing w:after="0"/>
      </w:pPr>
    </w:p>
    <w:p>
      <w:pPr>
        <w:pStyle w:val="Heading2"/>
      </w:pPr>
      <w:r>
        <w:t>6.1 Deployment Flow</w:t>
      </w:r>
    </w:p>
    <w:p>
      <w:pPr>
        <w:pStyle w:val="ListNumber"/>
        <w:spacing w:after="60"/>
      </w:pPr>
      <w:r>
        <w:t>Deploy infra/main.bicep to the target resource group with dryRun=true.</w:t>
      </w:r>
    </w:p>
    <w:p>
      <w:pPr>
        <w:pStyle w:val="ListNumber"/>
        <w:spacing w:after="60"/>
      </w:pPr>
      <w:r>
        <w:t>Azure creates the managed identity and applies host-storage and remediation RBAC assignments.</w:t>
      </w:r>
    </w:p>
    <w:p>
      <w:pPr>
        <w:pStyle w:val="ListNumber"/>
        <w:spacing w:after="60"/>
      </w:pPr>
      <w:r>
        <w:t>Package function_app.py, host.json, requirements.txt, and self_healing into a zip file.</w:t>
      </w:r>
    </w:p>
    <w:p>
      <w:pPr>
        <w:pStyle w:val="ListNumber"/>
        <w:spacing w:after="60"/>
      </w:pPr>
      <w:r>
        <w:t>Deploy the package with Azure remote build so production dependencies are installed for Linux.</w:t>
      </w:r>
    </w:p>
    <w:p>
      <w:pPr>
        <w:pStyle w:val="ListNumber"/>
        <w:spacing w:after="60"/>
      </w:pPr>
      <w:r>
        <w:t>Create an Azure Monitor Action Group Azure Function receiver for HandleMonitorAlert and enable common alert schema.</w:t>
      </w:r>
    </w:p>
    <w:p>
      <w:pPr>
        <w:pStyle w:val="ListNumber"/>
        <w:spacing w:after="60"/>
      </w:pPr>
      <w:r>
        <w:t>Test in dry-run, opt in a sandbox App Service, validate telemetry, then explicitly disable dry-run.</w:t>
      </w:r>
    </w:p>
    <w:p>
      <w:pPr>
        <w:pStyle w:val="Heading1"/>
      </w:pPr>
      <w:r>
        <w:t>7. tests Folder</w:t>
      </w:r>
    </w:p>
    <w:p>
      <w:r>
        <w:t>Tests validate domain behavior without calling Azure or an external endpoint. Fake resource, state, and validator services make orchestration deterministic.</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2F5597"/>
          </w:tcPr>
          <w:p>
            <w:r/>
            <w:r>
              <w:rPr>
                <w:b/>
                <w:color w:val="FFFFFF"/>
                <w:sz w:val="18"/>
              </w:rPr>
              <w:t>Test file</w:t>
            </w:r>
          </w:p>
        </w:tc>
        <w:tc>
          <w:tcPr>
            <w:tcW w:type="dxa" w:w="7200"/>
            <w:vAlign w:val="center"/>
            <w:shd w:fill="2F5597"/>
          </w:tcPr>
          <w:p>
            <w:r/>
            <w:r>
              <w:rPr>
                <w:b/>
                <w:color w:val="FFFFFF"/>
                <w:sz w:val="18"/>
              </w:rPr>
              <w:t>Coverage</w:t>
            </w:r>
          </w:p>
        </w:tc>
      </w:tr>
      <w:tr>
        <w:tc>
          <w:tcPr>
            <w:tcW w:type="dxa" w:w="2880"/>
            <w:vAlign w:val="center"/>
          </w:tcPr>
          <w:p>
            <w:r/>
            <w:r>
              <w:rPr>
                <w:b w:val="0"/>
                <w:sz w:val="18"/>
              </w:rPr>
              <w:t>test_alerts.py</w:t>
            </w:r>
          </w:p>
        </w:tc>
        <w:tc>
          <w:tcPr>
            <w:tcW w:type="dxa" w:w="7200"/>
            <w:vAlign w:val="center"/>
          </w:tcPr>
          <w:p>
            <w:r/>
            <w:r>
              <w:rPr>
                <w:b w:val="0"/>
                <w:sz w:val="18"/>
              </w:rPr>
              <w:t>Valid common-schema parsing, UTC timestamp handling, and rejection of missing or multi-resource targets.</w:t>
            </w:r>
          </w:p>
        </w:tc>
      </w:tr>
      <w:tr>
        <w:tc>
          <w:tcPr>
            <w:tcW w:type="dxa" w:w="2880"/>
            <w:vAlign w:val="center"/>
            <w:shd w:fill="EAF0F8"/>
          </w:tcPr>
          <w:p>
            <w:r/>
            <w:r>
              <w:rPr>
                <w:b w:val="0"/>
                <w:sz w:val="18"/>
              </w:rPr>
              <w:t>test_policy.py</w:t>
            </w:r>
          </w:p>
        </w:tc>
        <w:tc>
          <w:tcPr>
            <w:tcW w:type="dxa" w:w="7200"/>
            <w:vAlign w:val="center"/>
            <w:shd w:fill="EAF0F8"/>
          </w:tcPr>
          <w:p>
            <w:r/>
            <w:r>
              <w:rPr>
                <w:b w:val="0"/>
                <w:sz w:val="18"/>
              </w:rPr>
              <w:t>Approved opt-in, missing SelfHeal tag, unapproved alert rule, and dry-run behavior.</w:t>
            </w:r>
          </w:p>
        </w:tc>
      </w:tr>
      <w:tr>
        <w:tc>
          <w:tcPr>
            <w:tcW w:type="dxa" w:w="2880"/>
            <w:vAlign w:val="center"/>
          </w:tcPr>
          <w:p>
            <w:r/>
            <w:r>
              <w:rPr>
                <w:b w:val="0"/>
                <w:sz w:val="18"/>
              </w:rPr>
              <w:t>test_orchestrator.py</w:t>
            </w:r>
          </w:p>
        </w:tc>
        <w:tc>
          <w:tcPr>
            <w:tcW w:type="dxa" w:w="7200"/>
            <w:vAlign w:val="center"/>
          </w:tcPr>
          <w:p>
            <w:r/>
            <w:r>
              <w:rPr>
                <w:b w:val="0"/>
                <w:sz w:val="18"/>
              </w:rPr>
              <w:t>Successful restart, failed health validation, no mutation in dry-run, and retry-limit denial persistence.</w:t>
            </w:r>
          </w:p>
        </w:tc>
      </w:tr>
    </w:tbl>
    <w:p>
      <w:pPr>
        <w:spacing w:after="0"/>
      </w:pPr>
    </w:p>
    <w:p>
      <w:r>
        <w:t>Validation commands:</w:t>
      </w:r>
    </w:p>
    <w:p>
      <w:pPr>
        <w:pStyle w:val="CodeBlock"/>
      </w:pPr>
      <w:r>
        <w:t>python -m pytest -q</w:t>
      </w:r>
    </w:p>
    <w:p>
      <w:pPr>
        <w:pStyle w:val="CodeBlock"/>
      </w:pPr>
      <w:r>
        <w:t>python -m ruff check .</w:t>
      </w:r>
    </w:p>
    <w:p>
      <w:pPr>
        <w:pStyle w:val="CodeBlock"/>
      </w:pPr>
      <w:r>
        <w:t>python -m ruff format --check .</w:t>
      </w:r>
    </w:p>
    <w:p>
      <w:pPr>
        <w:pStyle w:val="CodeBlock"/>
      </w:pPr>
      <w:r>
        <w:t>bicep build infra/main.bicep --stdout</w:t>
      </w:r>
    </w:p>
    <w:p>
      <w:pPr>
        <w:pStyle w:val="Heading1"/>
      </w:pPr>
      <w:r>
        <w:t>8. Runtime Data Flow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504"/>
            <w:vAlign w:val="center"/>
            <w:shd w:fill="2F5597"/>
          </w:tcPr>
          <w:p>
            <w:r/>
            <w:r>
              <w:rPr>
                <w:b/>
                <w:color w:val="FFFFFF"/>
                <w:sz w:val="18"/>
              </w:rPr>
              <w:t>#</w:t>
            </w:r>
          </w:p>
        </w:tc>
        <w:tc>
          <w:tcPr>
            <w:tcW w:type="dxa" w:w="2592"/>
            <w:vAlign w:val="center"/>
            <w:shd w:fill="2F5597"/>
          </w:tcPr>
          <w:p>
            <w:r/>
            <w:r>
              <w:rPr>
                <w:b/>
                <w:color w:val="FFFFFF"/>
                <w:sz w:val="18"/>
              </w:rPr>
              <w:t>Input → component</w:t>
            </w:r>
          </w:p>
        </w:tc>
        <w:tc>
          <w:tcPr>
            <w:tcW w:type="dxa" w:w="4752"/>
            <w:vAlign w:val="center"/>
            <w:shd w:fill="2F5597"/>
          </w:tcPr>
          <w:p>
            <w:r/>
            <w:r>
              <w:rPr>
                <w:b/>
                <w:color w:val="FFFFFF"/>
                <w:sz w:val="18"/>
              </w:rPr>
              <w:t>Transformation / decision</w:t>
            </w:r>
          </w:p>
        </w:tc>
        <w:tc>
          <w:tcPr>
            <w:tcW w:type="dxa" w:w="2232"/>
            <w:vAlign w:val="center"/>
            <w:shd w:fill="2F5597"/>
          </w:tcPr>
          <w:p>
            <w:r/>
            <w:r>
              <w:rPr>
                <w:b/>
                <w:color w:val="FFFFFF"/>
                <w:sz w:val="18"/>
              </w:rPr>
              <w:t>Output</w:t>
            </w:r>
          </w:p>
        </w:tc>
      </w:tr>
      <w:tr>
        <w:tc>
          <w:tcPr>
            <w:tcW w:type="dxa" w:w="504"/>
            <w:vAlign w:val="center"/>
          </w:tcPr>
          <w:p>
            <w:r/>
            <w:r>
              <w:rPr>
                <w:b w:val="0"/>
                <w:sz w:val="18"/>
              </w:rPr>
              <w:t>1</w:t>
            </w:r>
          </w:p>
        </w:tc>
        <w:tc>
          <w:tcPr>
            <w:tcW w:type="dxa" w:w="2592"/>
            <w:vAlign w:val="center"/>
          </w:tcPr>
          <w:p>
            <w:r/>
            <w:r>
              <w:rPr>
                <w:b w:val="0"/>
                <w:sz w:val="18"/>
              </w:rPr>
              <w:t>Workload telemetry → Azure Monitor</w:t>
            </w:r>
          </w:p>
        </w:tc>
        <w:tc>
          <w:tcPr>
            <w:tcW w:type="dxa" w:w="4752"/>
            <w:vAlign w:val="center"/>
          </w:tcPr>
          <w:p>
            <w:r/>
            <w:r>
              <w:rPr>
                <w:b w:val="0"/>
                <w:sz w:val="18"/>
              </w:rPr>
              <w:t>Alert rule evaluates metrics or logs.</w:t>
            </w:r>
          </w:p>
        </w:tc>
        <w:tc>
          <w:tcPr>
            <w:tcW w:type="dxa" w:w="2232"/>
            <w:vAlign w:val="center"/>
          </w:tcPr>
          <w:p>
            <w:r/>
            <w:r>
              <w:rPr>
                <w:b w:val="0"/>
                <w:sz w:val="18"/>
              </w:rPr>
              <w:t>Fired common-schema alert.</w:t>
            </w:r>
          </w:p>
        </w:tc>
      </w:tr>
      <w:tr>
        <w:tc>
          <w:tcPr>
            <w:tcW w:type="dxa" w:w="504"/>
            <w:vAlign w:val="center"/>
            <w:shd w:fill="EAF0F8"/>
          </w:tcPr>
          <w:p>
            <w:r/>
            <w:r>
              <w:rPr>
                <w:b w:val="0"/>
                <w:sz w:val="18"/>
              </w:rPr>
              <w:t>2</w:t>
            </w:r>
          </w:p>
        </w:tc>
        <w:tc>
          <w:tcPr>
            <w:tcW w:type="dxa" w:w="2592"/>
            <w:vAlign w:val="center"/>
            <w:shd w:fill="EAF0F8"/>
          </w:tcPr>
          <w:p>
            <w:r/>
            <w:r>
              <w:rPr>
                <w:b w:val="0"/>
                <w:sz w:val="18"/>
              </w:rPr>
              <w:t>Action Group → HTTP Function</w:t>
            </w:r>
          </w:p>
        </w:tc>
        <w:tc>
          <w:tcPr>
            <w:tcW w:type="dxa" w:w="4752"/>
            <w:vAlign w:val="center"/>
            <w:shd w:fill="EAF0F8"/>
          </w:tcPr>
          <w:p>
            <w:r/>
            <w:r>
              <w:rPr>
                <w:b w:val="0"/>
                <w:sz w:val="18"/>
              </w:rPr>
              <w:t>Function-level authentication and JSON decoding.</w:t>
            </w:r>
          </w:p>
        </w:tc>
        <w:tc>
          <w:tcPr>
            <w:tcW w:type="dxa" w:w="2232"/>
            <w:vAlign w:val="center"/>
            <w:shd w:fill="EAF0F8"/>
          </w:tcPr>
          <w:p>
            <w:r/>
            <w:r>
              <w:rPr>
                <w:b w:val="0"/>
                <w:sz w:val="18"/>
              </w:rPr>
              <w:t>Payload passed to parser.</w:t>
            </w:r>
          </w:p>
        </w:tc>
      </w:tr>
      <w:tr>
        <w:tc>
          <w:tcPr>
            <w:tcW w:type="dxa" w:w="504"/>
            <w:vAlign w:val="center"/>
          </w:tcPr>
          <w:p>
            <w:r/>
            <w:r>
              <w:rPr>
                <w:b w:val="0"/>
                <w:sz w:val="18"/>
              </w:rPr>
              <w:t>3</w:t>
            </w:r>
          </w:p>
        </w:tc>
        <w:tc>
          <w:tcPr>
            <w:tcW w:type="dxa" w:w="2592"/>
            <w:vAlign w:val="center"/>
          </w:tcPr>
          <w:p>
            <w:r/>
            <w:r>
              <w:rPr>
                <w:b w:val="0"/>
                <w:sz w:val="18"/>
              </w:rPr>
              <w:t>Payload → alerts.py</w:t>
            </w:r>
          </w:p>
        </w:tc>
        <w:tc>
          <w:tcPr>
            <w:tcW w:type="dxa" w:w="4752"/>
            <w:vAlign w:val="center"/>
          </w:tcPr>
          <w:p>
            <w:r/>
            <w:r>
              <w:rPr>
                <w:b w:val="0"/>
                <w:sz w:val="18"/>
              </w:rPr>
              <w:t>Requires one target and all essential identity fields.</w:t>
            </w:r>
          </w:p>
        </w:tc>
        <w:tc>
          <w:tcPr>
            <w:tcW w:type="dxa" w:w="2232"/>
            <w:vAlign w:val="center"/>
          </w:tcPr>
          <w:p>
            <w:r/>
            <w:r>
              <w:rPr>
                <w:b w:val="0"/>
                <w:sz w:val="18"/>
              </w:rPr>
              <w:t>Immutable Alert model or HTTP 400.</w:t>
            </w:r>
          </w:p>
        </w:tc>
      </w:tr>
      <w:tr>
        <w:tc>
          <w:tcPr>
            <w:tcW w:type="dxa" w:w="504"/>
            <w:vAlign w:val="center"/>
            <w:shd w:fill="EAF0F8"/>
          </w:tcPr>
          <w:p>
            <w:r/>
            <w:r>
              <w:rPr>
                <w:b w:val="0"/>
                <w:sz w:val="18"/>
              </w:rPr>
              <w:t>4</w:t>
            </w:r>
          </w:p>
        </w:tc>
        <w:tc>
          <w:tcPr>
            <w:tcW w:type="dxa" w:w="2592"/>
            <w:vAlign w:val="center"/>
            <w:shd w:fill="EAF0F8"/>
          </w:tcPr>
          <w:p>
            <w:r/>
            <w:r>
              <w:rPr>
                <w:b w:val="0"/>
                <w:sz w:val="18"/>
              </w:rPr>
              <w:t>Resource ID → resources.py</w:t>
            </w:r>
          </w:p>
        </w:tc>
        <w:tc>
          <w:tcPr>
            <w:tcW w:type="dxa" w:w="4752"/>
            <w:vAlign w:val="center"/>
            <w:shd w:fill="EAF0F8"/>
          </w:tcPr>
          <w:p>
            <w:r/>
            <w:r>
              <w:rPr>
                <w:b w:val="0"/>
                <w:sz w:val="18"/>
              </w:rPr>
              <w:t>Requires one top-level Microsoft.Web/sites ID.</w:t>
            </w:r>
          </w:p>
        </w:tc>
        <w:tc>
          <w:tcPr>
            <w:tcW w:type="dxa" w:w="2232"/>
            <w:vAlign w:val="center"/>
            <w:shd w:fill="EAF0F8"/>
          </w:tcPr>
          <w:p>
            <w:r/>
            <w:r>
              <w:rPr>
                <w:b w:val="0"/>
                <w:sz w:val="18"/>
              </w:rPr>
              <w:t>Parsed identifiers or HTTP 422.</w:t>
            </w:r>
          </w:p>
        </w:tc>
      </w:tr>
      <w:tr>
        <w:tc>
          <w:tcPr>
            <w:tcW w:type="dxa" w:w="504"/>
            <w:vAlign w:val="center"/>
          </w:tcPr>
          <w:p>
            <w:r/>
            <w:r>
              <w:rPr>
                <w:b w:val="0"/>
                <w:sz w:val="18"/>
              </w:rPr>
              <w:t>5</w:t>
            </w:r>
          </w:p>
        </w:tc>
        <w:tc>
          <w:tcPr>
            <w:tcW w:type="dxa" w:w="2592"/>
            <w:vAlign w:val="center"/>
          </w:tcPr>
          <w:p>
            <w:r/>
            <w:r>
              <w:rPr>
                <w:b w:val="0"/>
                <w:sz w:val="18"/>
              </w:rPr>
              <w:t>Managed identity → Azure Resource Manager</w:t>
            </w:r>
          </w:p>
        </w:tc>
        <w:tc>
          <w:tcPr>
            <w:tcW w:type="dxa" w:w="4752"/>
            <w:vAlign w:val="center"/>
          </w:tcPr>
          <w:p>
            <w:r/>
            <w:r>
              <w:rPr>
                <w:b w:val="0"/>
                <w:sz w:val="18"/>
              </w:rPr>
              <w:t>Reads authoritative tags and default hostname.</w:t>
            </w:r>
          </w:p>
        </w:tc>
        <w:tc>
          <w:tcPr>
            <w:tcW w:type="dxa" w:w="2232"/>
            <w:vAlign w:val="center"/>
          </w:tcPr>
          <w:p>
            <w:r/>
            <w:r>
              <w:rPr>
                <w:b w:val="0"/>
                <w:sz w:val="18"/>
              </w:rPr>
              <w:t>Immutable Resource model.</w:t>
            </w:r>
          </w:p>
        </w:tc>
      </w:tr>
      <w:tr>
        <w:tc>
          <w:tcPr>
            <w:tcW w:type="dxa" w:w="504"/>
            <w:vAlign w:val="center"/>
            <w:shd w:fill="EAF0F8"/>
          </w:tcPr>
          <w:p>
            <w:r/>
            <w:r>
              <w:rPr>
                <w:b w:val="0"/>
                <w:sz w:val="18"/>
              </w:rPr>
              <w:t>6</w:t>
            </w:r>
          </w:p>
        </w:tc>
        <w:tc>
          <w:tcPr>
            <w:tcW w:type="dxa" w:w="2592"/>
            <w:vAlign w:val="center"/>
            <w:shd w:fill="EAF0F8"/>
          </w:tcPr>
          <w:p>
            <w:r/>
            <w:r>
              <w:rPr>
                <w:b w:val="0"/>
                <w:sz w:val="18"/>
              </w:rPr>
              <w:t>Alert + Resource + Settings → policy.py</w:t>
            </w:r>
          </w:p>
        </w:tc>
        <w:tc>
          <w:tcPr>
            <w:tcW w:type="dxa" w:w="4752"/>
            <w:vAlign w:val="center"/>
            <w:shd w:fill="EAF0F8"/>
          </w:tcPr>
          <w:p>
            <w:r/>
            <w:r>
              <w:rPr>
                <w:b w:val="0"/>
                <w:sz w:val="18"/>
              </w:rPr>
              <w:t>Applies alert, tag, environment, pause, and dry-run rules.</w:t>
            </w:r>
          </w:p>
        </w:tc>
        <w:tc>
          <w:tcPr>
            <w:tcW w:type="dxa" w:w="2232"/>
            <w:vAlign w:val="center"/>
            <w:shd w:fill="EAF0F8"/>
          </w:tcPr>
          <w:p>
            <w:r/>
            <w:r>
              <w:rPr>
                <w:b w:val="0"/>
                <w:sz w:val="18"/>
              </w:rPr>
              <w:t>Approved, denied, or dry_run.</w:t>
            </w:r>
          </w:p>
        </w:tc>
      </w:tr>
      <w:tr>
        <w:tc>
          <w:tcPr>
            <w:tcW w:type="dxa" w:w="504"/>
            <w:vAlign w:val="center"/>
          </w:tcPr>
          <w:p>
            <w:r/>
            <w:r>
              <w:rPr>
                <w:b w:val="0"/>
                <w:sz w:val="18"/>
              </w:rPr>
              <w:t>7</w:t>
            </w:r>
          </w:p>
        </w:tc>
        <w:tc>
          <w:tcPr>
            <w:tcW w:type="dxa" w:w="2592"/>
            <w:vAlign w:val="center"/>
          </w:tcPr>
          <w:p>
            <w:r/>
            <w:r>
              <w:rPr>
                <w:b w:val="0"/>
                <w:sz w:val="18"/>
              </w:rPr>
              <w:t>Approved request → state.py</w:t>
            </w:r>
          </w:p>
        </w:tc>
        <w:tc>
          <w:tcPr>
            <w:tcW w:type="dxa" w:w="4752"/>
            <w:vAlign w:val="center"/>
          </w:tcPr>
          <w:p>
            <w:r/>
            <w:r>
              <w:rPr>
                <w:b w:val="0"/>
                <w:sz w:val="18"/>
              </w:rPr>
              <w:t>Creates a unique alert row and counts recent resource attempts.</w:t>
            </w:r>
          </w:p>
        </w:tc>
        <w:tc>
          <w:tcPr>
            <w:tcW w:type="dxa" w:w="2232"/>
            <w:vAlign w:val="center"/>
          </w:tcPr>
          <w:p>
            <w:r/>
            <w:r>
              <w:rPr>
                <w:b w:val="0"/>
                <w:sz w:val="18"/>
              </w:rPr>
              <w:t>Reserved attempt or bounded skip.</w:t>
            </w:r>
          </w:p>
        </w:tc>
      </w:tr>
      <w:tr>
        <w:tc>
          <w:tcPr>
            <w:tcW w:type="dxa" w:w="504"/>
            <w:vAlign w:val="center"/>
            <w:shd w:fill="EAF0F8"/>
          </w:tcPr>
          <w:p>
            <w:r/>
            <w:r>
              <w:rPr>
                <w:b w:val="0"/>
                <w:sz w:val="18"/>
              </w:rPr>
              <w:t>8</w:t>
            </w:r>
          </w:p>
        </w:tc>
        <w:tc>
          <w:tcPr>
            <w:tcW w:type="dxa" w:w="2592"/>
            <w:vAlign w:val="center"/>
            <w:shd w:fill="EAF0F8"/>
          </w:tcPr>
          <w:p>
            <w:r/>
            <w:r>
              <w:rPr>
                <w:b w:val="0"/>
                <w:sz w:val="18"/>
              </w:rPr>
              <w:t>Reserved attempt → resources.py</w:t>
            </w:r>
          </w:p>
        </w:tc>
        <w:tc>
          <w:tcPr>
            <w:tcW w:type="dxa" w:w="4752"/>
            <w:vAlign w:val="center"/>
            <w:shd w:fill="EAF0F8"/>
          </w:tcPr>
          <w:p>
            <w:r/>
            <w:r>
              <w:rPr>
                <w:b w:val="0"/>
                <w:sz w:val="18"/>
              </w:rPr>
              <w:t>Calls App Service restart through WebSiteManagementClient.</w:t>
            </w:r>
          </w:p>
        </w:tc>
        <w:tc>
          <w:tcPr>
            <w:tcW w:type="dxa" w:w="2232"/>
            <w:vAlign w:val="center"/>
            <w:shd w:fill="EAF0F8"/>
          </w:tcPr>
          <w:p>
            <w:r/>
            <w:r>
              <w:rPr>
                <w:b w:val="0"/>
                <w:sz w:val="18"/>
              </w:rPr>
              <w:t>Restart accepted or caught failure.</w:t>
            </w:r>
          </w:p>
        </w:tc>
      </w:tr>
      <w:tr>
        <w:tc>
          <w:tcPr>
            <w:tcW w:type="dxa" w:w="504"/>
            <w:vAlign w:val="center"/>
          </w:tcPr>
          <w:p>
            <w:r/>
            <w:r>
              <w:rPr>
                <w:b w:val="0"/>
                <w:sz w:val="18"/>
              </w:rPr>
              <w:t>9</w:t>
            </w:r>
          </w:p>
        </w:tc>
        <w:tc>
          <w:tcPr>
            <w:tcW w:type="dxa" w:w="2592"/>
            <w:vAlign w:val="center"/>
          </w:tcPr>
          <w:p>
            <w:r/>
            <w:r>
              <w:rPr>
                <w:b w:val="0"/>
                <w:sz w:val="18"/>
              </w:rPr>
              <w:t>Resource → validation.py</w:t>
            </w:r>
          </w:p>
        </w:tc>
        <w:tc>
          <w:tcPr>
            <w:tcW w:type="dxa" w:w="4752"/>
            <w:vAlign w:val="center"/>
          </w:tcPr>
          <w:p>
            <w:r/>
            <w:r>
              <w:rPr>
                <w:b w:val="0"/>
                <w:sz w:val="18"/>
              </w:rPr>
              <w:t>Waits, builds constrained HTTPS health URL, and retries.</w:t>
            </w:r>
          </w:p>
        </w:tc>
        <w:tc>
          <w:tcPr>
            <w:tcW w:type="dxa" w:w="2232"/>
            <w:vAlign w:val="center"/>
          </w:tcPr>
          <w:p>
            <w:r/>
            <w:r>
              <w:rPr>
                <w:b w:val="0"/>
                <w:sz w:val="18"/>
              </w:rPr>
              <w:t>passed or failed.</w:t>
            </w:r>
          </w:p>
        </w:tc>
      </w:tr>
      <w:tr>
        <w:tc>
          <w:tcPr>
            <w:tcW w:type="dxa" w:w="504"/>
            <w:vAlign w:val="center"/>
            <w:shd w:fill="EAF0F8"/>
          </w:tcPr>
          <w:p>
            <w:r/>
            <w:r>
              <w:rPr>
                <w:b w:val="0"/>
                <w:sz w:val="18"/>
              </w:rPr>
              <w:t>10</w:t>
            </w:r>
          </w:p>
        </w:tc>
        <w:tc>
          <w:tcPr>
            <w:tcW w:type="dxa" w:w="2592"/>
            <w:vAlign w:val="center"/>
            <w:shd w:fill="EAF0F8"/>
          </w:tcPr>
          <w:p>
            <w:r/>
            <w:r>
              <w:rPr>
                <w:b w:val="0"/>
                <w:sz w:val="18"/>
              </w:rPr>
              <w:t>HealingResult → state.py</w:t>
            </w:r>
          </w:p>
        </w:tc>
        <w:tc>
          <w:tcPr>
            <w:tcW w:type="dxa" w:w="4752"/>
            <w:vAlign w:val="center"/>
            <w:shd w:fill="EAF0F8"/>
          </w:tcPr>
          <w:p>
            <w:r/>
            <w:r>
              <w:rPr>
                <w:b w:val="0"/>
                <w:sz w:val="18"/>
              </w:rPr>
              <w:t>Merges outcome and completion metadata into the attempt row.</w:t>
            </w:r>
          </w:p>
        </w:tc>
        <w:tc>
          <w:tcPr>
            <w:tcW w:type="dxa" w:w="2232"/>
            <w:vAlign w:val="center"/>
            <w:shd w:fill="EAF0F8"/>
          </w:tcPr>
          <w:p>
            <w:r/>
            <w:r>
              <w:rPr>
                <w:b w:val="0"/>
                <w:sz w:val="18"/>
              </w:rPr>
              <w:t>Durable attempt history.</w:t>
            </w:r>
          </w:p>
        </w:tc>
      </w:tr>
      <w:tr>
        <w:tc>
          <w:tcPr>
            <w:tcW w:type="dxa" w:w="504"/>
            <w:vAlign w:val="center"/>
          </w:tcPr>
          <w:p>
            <w:r/>
            <w:r>
              <w:rPr>
                <w:b w:val="0"/>
                <w:sz w:val="18"/>
              </w:rPr>
              <w:t>11</w:t>
            </w:r>
          </w:p>
        </w:tc>
        <w:tc>
          <w:tcPr>
            <w:tcW w:type="dxa" w:w="2592"/>
            <w:vAlign w:val="center"/>
          </w:tcPr>
          <w:p>
            <w:r/>
            <w:r>
              <w:rPr>
                <w:b w:val="0"/>
                <w:sz w:val="18"/>
              </w:rPr>
              <w:t>HealingResult → Application Insights</w:t>
            </w:r>
          </w:p>
        </w:tc>
        <w:tc>
          <w:tcPr>
            <w:tcW w:type="dxa" w:w="4752"/>
            <w:vAlign w:val="center"/>
          </w:tcPr>
          <w:p>
            <w:r/>
            <w:r>
              <w:rPr>
                <w:b w:val="0"/>
                <w:sz w:val="18"/>
              </w:rPr>
              <w:t>Logs structured custom dimensions.</w:t>
            </w:r>
          </w:p>
        </w:tc>
        <w:tc>
          <w:tcPr>
            <w:tcW w:type="dxa" w:w="2232"/>
            <w:vAlign w:val="center"/>
          </w:tcPr>
          <w:p>
            <w:r/>
            <w:r>
              <w:rPr>
                <w:b w:val="0"/>
                <w:sz w:val="18"/>
              </w:rPr>
              <w:t>Queryable audit event.</w:t>
            </w:r>
          </w:p>
        </w:tc>
      </w:tr>
      <w:tr>
        <w:tc>
          <w:tcPr>
            <w:tcW w:type="dxa" w:w="504"/>
            <w:vAlign w:val="center"/>
            <w:shd w:fill="EAF0F8"/>
          </w:tcPr>
          <w:p>
            <w:r/>
            <w:r>
              <w:rPr>
                <w:b w:val="0"/>
                <w:sz w:val="18"/>
              </w:rPr>
              <w:t>12</w:t>
            </w:r>
          </w:p>
        </w:tc>
        <w:tc>
          <w:tcPr>
            <w:tcW w:type="dxa" w:w="2592"/>
            <w:vAlign w:val="center"/>
            <w:shd w:fill="EAF0F8"/>
          </w:tcPr>
          <w:p>
            <w:r/>
            <w:r>
              <w:rPr>
                <w:b w:val="0"/>
                <w:sz w:val="18"/>
              </w:rPr>
              <w:t>HealingResult → caller</w:t>
            </w:r>
          </w:p>
        </w:tc>
        <w:tc>
          <w:tcPr>
            <w:tcW w:type="dxa" w:w="4752"/>
            <w:vAlign w:val="center"/>
            <w:shd w:fill="EAF0F8"/>
          </w:tcPr>
          <w:p>
            <w:r/>
            <w:r>
              <w:rPr>
                <w:b w:val="0"/>
                <w:sz w:val="18"/>
              </w:rPr>
              <w:t>Serializes stable JSON response.</w:t>
            </w:r>
          </w:p>
        </w:tc>
        <w:tc>
          <w:tcPr>
            <w:tcW w:type="dxa" w:w="2232"/>
            <w:vAlign w:val="center"/>
            <w:shd w:fill="EAF0F8"/>
          </w:tcPr>
          <w:p>
            <w:r/>
            <w:r>
              <w:rPr>
                <w:b w:val="0"/>
                <w:sz w:val="18"/>
              </w:rPr>
              <w:t>HTTP 200 for completed workflow.</w:t>
            </w:r>
          </w:p>
        </w:tc>
      </w:tr>
    </w:tbl>
    <w:p>
      <w:pPr>
        <w:spacing w:after="0"/>
      </w:pPr>
    </w:p>
    <w:p>
      <w:pPr>
        <w:pStyle w:val="Heading2"/>
      </w:pPr>
      <w:r>
        <w:t>8.1 Decision Branches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456"/>
            <w:vAlign w:val="center"/>
            <w:shd w:fill="2F5597"/>
          </w:tcPr>
          <w:p>
            <w:r/>
            <w:r>
              <w:rPr>
                <w:b/>
                <w:color w:val="FFFFFF"/>
                <w:sz w:val="18"/>
              </w:rPr>
              <w:t>Condition</w:t>
            </w:r>
          </w:p>
        </w:tc>
        <w:tc>
          <w:tcPr>
            <w:tcW w:type="dxa" w:w="1728"/>
            <w:vAlign w:val="center"/>
            <w:shd w:fill="2F5597"/>
          </w:tcPr>
          <w:p>
            <w:r/>
            <w:r>
              <w:rPr>
                <w:b/>
                <w:color w:val="FFFFFF"/>
                <w:sz w:val="18"/>
              </w:rPr>
              <w:t>Decision</w:t>
            </w:r>
          </w:p>
        </w:tc>
        <w:tc>
          <w:tcPr>
            <w:tcW w:type="dxa" w:w="1440"/>
            <w:vAlign w:val="center"/>
            <w:shd w:fill="2F5597"/>
          </w:tcPr>
          <w:p>
            <w:r/>
            <w:r>
              <w:rPr>
                <w:b/>
                <w:color w:val="FFFFFF"/>
                <w:sz w:val="18"/>
              </w:rPr>
              <w:t>Mutation?</w:t>
            </w:r>
          </w:p>
        </w:tc>
        <w:tc>
          <w:tcPr>
            <w:tcW w:type="dxa" w:w="3456"/>
            <w:vAlign w:val="center"/>
            <w:shd w:fill="2F5597"/>
          </w:tcPr>
          <w:p>
            <w:r/>
            <w:r>
              <w:rPr>
                <w:b/>
                <w:color w:val="FFFFFF"/>
                <w:sz w:val="18"/>
              </w:rPr>
              <w:t>Audit behavior</w:t>
            </w:r>
          </w:p>
        </w:tc>
      </w:tr>
      <w:tr>
        <w:tc>
          <w:tcPr>
            <w:tcW w:type="dxa" w:w="3456"/>
            <w:vAlign w:val="center"/>
          </w:tcPr>
          <w:p>
            <w:r/>
            <w:r>
              <w:rPr>
                <w:b w:val="0"/>
                <w:sz w:val="18"/>
              </w:rPr>
              <w:t>Malformed or multi-target alert</w:t>
            </w:r>
          </w:p>
        </w:tc>
        <w:tc>
          <w:tcPr>
            <w:tcW w:type="dxa" w:w="1728"/>
            <w:vAlign w:val="center"/>
          </w:tcPr>
          <w:p>
            <w:r/>
            <w:r>
              <w:rPr>
                <w:b w:val="0"/>
                <w:sz w:val="18"/>
              </w:rPr>
              <w:t>Reject request</w:t>
            </w:r>
          </w:p>
        </w:tc>
        <w:tc>
          <w:tcPr>
            <w:tcW w:type="dxa" w:w="1440"/>
            <w:vAlign w:val="center"/>
          </w:tcPr>
          <w:p>
            <w:r/>
            <w:r>
              <w:rPr>
                <w:b w:val="0"/>
                <w:sz w:val="18"/>
              </w:rPr>
              <w:t>No</w:t>
            </w:r>
          </w:p>
        </w:tc>
        <w:tc>
          <w:tcPr>
            <w:tcW w:type="dxa" w:w="3456"/>
            <w:vAlign w:val="center"/>
          </w:tcPr>
          <w:p>
            <w:r/>
            <w:r>
              <w:rPr>
                <w:b w:val="0"/>
                <w:sz w:val="18"/>
              </w:rPr>
              <w:t>HTTP 400 and Function request telemetry.</w:t>
            </w:r>
          </w:p>
        </w:tc>
      </w:tr>
      <w:tr>
        <w:tc>
          <w:tcPr>
            <w:tcW w:type="dxa" w:w="3456"/>
            <w:vAlign w:val="center"/>
            <w:shd w:fill="EAF0F8"/>
          </w:tcPr>
          <w:p>
            <w:r/>
            <w:r>
              <w:rPr>
                <w:b w:val="0"/>
                <w:sz w:val="18"/>
              </w:rPr>
              <w:t>Unsupported or nested resource ID</w:t>
            </w:r>
          </w:p>
        </w:tc>
        <w:tc>
          <w:tcPr>
            <w:tcW w:type="dxa" w:w="1728"/>
            <w:vAlign w:val="center"/>
            <w:shd w:fill="EAF0F8"/>
          </w:tcPr>
          <w:p>
            <w:r/>
            <w:r>
              <w:rPr>
                <w:b w:val="0"/>
                <w:sz w:val="18"/>
              </w:rPr>
              <w:t>Reject target</w:t>
            </w:r>
          </w:p>
        </w:tc>
        <w:tc>
          <w:tcPr>
            <w:tcW w:type="dxa" w:w="1440"/>
            <w:vAlign w:val="center"/>
            <w:shd w:fill="EAF0F8"/>
          </w:tcPr>
          <w:p>
            <w:r/>
            <w:r>
              <w:rPr>
                <w:b w:val="0"/>
                <w:sz w:val="18"/>
              </w:rPr>
              <w:t>No</w:t>
            </w:r>
          </w:p>
        </w:tc>
        <w:tc>
          <w:tcPr>
            <w:tcW w:type="dxa" w:w="3456"/>
            <w:vAlign w:val="center"/>
            <w:shd w:fill="EAF0F8"/>
          </w:tcPr>
          <w:p>
            <w:r/>
            <w:r>
              <w:rPr>
                <w:b w:val="0"/>
                <w:sz w:val="18"/>
              </w:rPr>
              <w:t>HTTP 422 and Function request telemetry.</w:t>
            </w:r>
          </w:p>
        </w:tc>
      </w:tr>
      <w:tr>
        <w:tc>
          <w:tcPr>
            <w:tcW w:type="dxa" w:w="3456"/>
            <w:vAlign w:val="center"/>
          </w:tcPr>
          <w:p>
            <w:r/>
            <w:r>
              <w:rPr>
                <w:b w:val="0"/>
                <w:sz w:val="18"/>
              </w:rPr>
              <w:t>Resolved condition, severity denied, missing tags, wrong rule/environment, or paused</w:t>
            </w:r>
          </w:p>
        </w:tc>
        <w:tc>
          <w:tcPr>
            <w:tcW w:type="dxa" w:w="1728"/>
            <w:vAlign w:val="center"/>
          </w:tcPr>
          <w:p>
            <w:r/>
            <w:r>
              <w:rPr>
                <w:b w:val="0"/>
                <w:sz w:val="18"/>
              </w:rPr>
              <w:t>Denied</w:t>
            </w:r>
          </w:p>
        </w:tc>
        <w:tc>
          <w:tcPr>
            <w:tcW w:type="dxa" w:w="1440"/>
            <w:vAlign w:val="center"/>
          </w:tcPr>
          <w:p>
            <w:r/>
            <w:r>
              <w:rPr>
                <w:b w:val="0"/>
                <w:sz w:val="18"/>
              </w:rPr>
              <w:t>No</w:t>
            </w:r>
          </w:p>
        </w:tc>
        <w:tc>
          <w:tcPr>
            <w:tcW w:type="dxa" w:w="3456"/>
            <w:vAlign w:val="center"/>
          </w:tcPr>
          <w:p>
            <w:r/>
            <w:r>
              <w:rPr>
                <w:b w:val="0"/>
                <w:sz w:val="18"/>
              </w:rPr>
              <w:t>Structured HealingResult trace.</w:t>
            </w:r>
          </w:p>
        </w:tc>
      </w:tr>
      <w:tr>
        <w:tc>
          <w:tcPr>
            <w:tcW w:type="dxa" w:w="3456"/>
            <w:vAlign w:val="center"/>
            <w:shd w:fill="EAF0F8"/>
          </w:tcPr>
          <w:p>
            <w:r/>
            <w:r>
              <w:rPr>
                <w:b w:val="0"/>
                <w:sz w:val="18"/>
              </w:rPr>
              <w:t>All policy rules pass while DRY_RUN=true</w:t>
            </w:r>
          </w:p>
        </w:tc>
        <w:tc>
          <w:tcPr>
            <w:tcW w:type="dxa" w:w="1728"/>
            <w:vAlign w:val="center"/>
            <w:shd w:fill="EAF0F8"/>
          </w:tcPr>
          <w:p>
            <w:r/>
            <w:r>
              <w:rPr>
                <w:b w:val="0"/>
                <w:sz w:val="18"/>
              </w:rPr>
              <w:t>Dry run</w:t>
            </w:r>
          </w:p>
        </w:tc>
        <w:tc>
          <w:tcPr>
            <w:tcW w:type="dxa" w:w="1440"/>
            <w:vAlign w:val="center"/>
            <w:shd w:fill="EAF0F8"/>
          </w:tcPr>
          <w:p>
            <w:r/>
            <w:r>
              <w:rPr>
                <w:b w:val="0"/>
                <w:sz w:val="18"/>
              </w:rPr>
              <w:t>No</w:t>
            </w:r>
          </w:p>
        </w:tc>
        <w:tc>
          <w:tcPr>
            <w:tcW w:type="dxa" w:w="3456"/>
            <w:vAlign w:val="center"/>
            <w:shd w:fill="EAF0F8"/>
          </w:tcPr>
          <w:p>
            <w:r/>
            <w:r>
              <w:rPr>
                <w:b w:val="0"/>
                <w:sz w:val="18"/>
              </w:rPr>
              <w:t>Structured intended-action trace.</w:t>
            </w:r>
          </w:p>
        </w:tc>
      </w:tr>
      <w:tr>
        <w:tc>
          <w:tcPr>
            <w:tcW w:type="dxa" w:w="3456"/>
            <w:vAlign w:val="center"/>
          </w:tcPr>
          <w:p>
            <w:r/>
            <w:r>
              <w:rPr>
                <w:b w:val="0"/>
                <w:sz w:val="18"/>
              </w:rPr>
              <w:t>Duplicate alert ID</w:t>
            </w:r>
          </w:p>
        </w:tc>
        <w:tc>
          <w:tcPr>
            <w:tcW w:type="dxa" w:w="1728"/>
            <w:vAlign w:val="center"/>
          </w:tcPr>
          <w:p>
            <w:r/>
            <w:r>
              <w:rPr>
                <w:b w:val="0"/>
                <w:sz w:val="18"/>
              </w:rPr>
              <w:t>Denied by state</w:t>
            </w:r>
          </w:p>
        </w:tc>
        <w:tc>
          <w:tcPr>
            <w:tcW w:type="dxa" w:w="1440"/>
            <w:vAlign w:val="center"/>
          </w:tcPr>
          <w:p>
            <w:r/>
            <w:r>
              <w:rPr>
                <w:b w:val="0"/>
                <w:sz w:val="18"/>
              </w:rPr>
              <w:t>No</w:t>
            </w:r>
          </w:p>
        </w:tc>
        <w:tc>
          <w:tcPr>
            <w:tcW w:type="dxa" w:w="3456"/>
            <w:vAlign w:val="center"/>
          </w:tcPr>
          <w:p>
            <w:r/>
            <w:r>
              <w:rPr>
                <w:b w:val="0"/>
                <w:sz w:val="18"/>
              </w:rPr>
              <w:t>Existing row remains authoritative; response explains duplicate.</w:t>
            </w:r>
          </w:p>
        </w:tc>
      </w:tr>
      <w:tr>
        <w:tc>
          <w:tcPr>
            <w:tcW w:type="dxa" w:w="3456"/>
            <w:vAlign w:val="center"/>
            <w:shd w:fill="EAF0F8"/>
          </w:tcPr>
          <w:p>
            <w:r/>
            <w:r>
              <w:rPr>
                <w:b w:val="0"/>
                <w:sz w:val="18"/>
              </w:rPr>
              <w:t>Retry limit exceeded</w:t>
            </w:r>
          </w:p>
        </w:tc>
        <w:tc>
          <w:tcPr>
            <w:tcW w:type="dxa" w:w="1728"/>
            <w:vAlign w:val="center"/>
            <w:shd w:fill="EAF0F8"/>
          </w:tcPr>
          <w:p>
            <w:r/>
            <w:r>
              <w:rPr>
                <w:b w:val="0"/>
                <w:sz w:val="18"/>
              </w:rPr>
              <w:t>Denied by state</w:t>
            </w:r>
          </w:p>
        </w:tc>
        <w:tc>
          <w:tcPr>
            <w:tcW w:type="dxa" w:w="1440"/>
            <w:vAlign w:val="center"/>
            <w:shd w:fill="EAF0F8"/>
          </w:tcPr>
          <w:p>
            <w:r/>
            <w:r>
              <w:rPr>
                <w:b w:val="0"/>
                <w:sz w:val="18"/>
              </w:rPr>
              <w:t>No</w:t>
            </w:r>
          </w:p>
        </w:tc>
        <w:tc>
          <w:tcPr>
            <w:tcW w:type="dxa" w:w="3456"/>
            <w:vAlign w:val="center"/>
            <w:shd w:fill="EAF0F8"/>
          </w:tcPr>
          <w:p>
            <w:r/>
            <w:r>
              <w:rPr>
                <w:b w:val="0"/>
                <w:sz w:val="18"/>
              </w:rPr>
              <w:t>Denied attempt is finalized in the ledger.</w:t>
            </w:r>
          </w:p>
        </w:tc>
      </w:tr>
      <w:tr>
        <w:tc>
          <w:tcPr>
            <w:tcW w:type="dxa" w:w="3456"/>
            <w:vAlign w:val="center"/>
          </w:tcPr>
          <w:p>
            <w:r/>
            <w:r>
              <w:rPr>
                <w:b w:val="0"/>
                <w:sz w:val="18"/>
              </w:rPr>
              <w:t>Restart succeeds and health endpoint recovers</w:t>
            </w:r>
          </w:p>
        </w:tc>
        <w:tc>
          <w:tcPr>
            <w:tcW w:type="dxa" w:w="1728"/>
            <w:vAlign w:val="center"/>
          </w:tcPr>
          <w:p>
            <w:r/>
            <w:r>
              <w:rPr>
                <w:b w:val="0"/>
                <w:sz w:val="18"/>
              </w:rPr>
              <w:t>Approved / succeeded</w:t>
            </w:r>
          </w:p>
        </w:tc>
        <w:tc>
          <w:tcPr>
            <w:tcW w:type="dxa" w:w="1440"/>
            <w:vAlign w:val="center"/>
          </w:tcPr>
          <w:p>
            <w:r/>
            <w:r>
              <w:rPr>
                <w:b w:val="0"/>
                <w:sz w:val="18"/>
              </w:rPr>
              <w:t>Restart</w:t>
            </w:r>
          </w:p>
        </w:tc>
        <w:tc>
          <w:tcPr>
            <w:tcW w:type="dxa" w:w="3456"/>
            <w:vAlign w:val="center"/>
          </w:tcPr>
          <w:p>
            <w:r/>
            <w:r>
              <w:rPr>
                <w:b w:val="0"/>
                <w:sz w:val="18"/>
              </w:rPr>
              <w:t>Table and trace record validation passed.</w:t>
            </w:r>
          </w:p>
        </w:tc>
      </w:tr>
      <w:tr>
        <w:tc>
          <w:tcPr>
            <w:tcW w:type="dxa" w:w="3456"/>
            <w:vAlign w:val="center"/>
            <w:shd w:fill="EAF0F8"/>
          </w:tcPr>
          <w:p>
            <w:r/>
            <w:r>
              <w:rPr>
                <w:b w:val="0"/>
                <w:sz w:val="18"/>
              </w:rPr>
              <w:t>Restart throws or endpoint remains unhealthy</w:t>
            </w:r>
          </w:p>
        </w:tc>
        <w:tc>
          <w:tcPr>
            <w:tcW w:type="dxa" w:w="1728"/>
            <w:vAlign w:val="center"/>
            <w:shd w:fill="EAF0F8"/>
          </w:tcPr>
          <w:p>
            <w:r/>
            <w:r>
              <w:rPr>
                <w:b w:val="0"/>
                <w:sz w:val="18"/>
              </w:rPr>
              <w:t>Approved / failed</w:t>
            </w:r>
          </w:p>
        </w:tc>
        <w:tc>
          <w:tcPr>
            <w:tcW w:type="dxa" w:w="1440"/>
            <w:vAlign w:val="center"/>
            <w:shd w:fill="EAF0F8"/>
          </w:tcPr>
          <w:p>
            <w:r/>
            <w:r>
              <w:rPr>
                <w:b w:val="0"/>
                <w:sz w:val="18"/>
              </w:rPr>
              <w:t>Restart attempted</w:t>
            </w:r>
          </w:p>
        </w:tc>
        <w:tc>
          <w:tcPr>
            <w:tcW w:type="dxa" w:w="3456"/>
            <w:vAlign w:val="center"/>
            <w:shd w:fill="EAF0F8"/>
          </w:tcPr>
          <w:p>
            <w:r/>
            <w:r>
              <w:rPr>
                <w:b w:val="0"/>
                <w:sz w:val="18"/>
              </w:rPr>
              <w:t>Table and trace record failure for escalation alerting.</w:t>
            </w:r>
          </w:p>
        </w:tc>
      </w:tr>
    </w:tbl>
    <w:p>
      <w:pPr>
        <w:spacing w:after="0"/>
      </w:pPr>
    </w:p>
    <w:p>
      <w:pPr>
        <w:pStyle w:val="Heading2"/>
      </w:pPr>
      <w:r>
        <w:t>8.2 Alert-to-Action Sequence</w:t>
      </w:r>
    </w:p>
    <w:p>
      <w:pPr>
        <w:pStyle w:val="CodeBlock"/>
      </w:pPr>
      <w:r>
        <w:t>Azure Monitor  Function  Parser  Azure ARM  Policy  Table  App Service  Health  Insights</w:t>
        <w:br/>
        <w:t xml:space="preserve">     |            |       |        |        |      |         |          |        |</w:t>
        <w:br/>
        <w:t xml:space="preserve">     |--alert----&gt;|       |        |        |      |         |          |        |</w:t>
        <w:br/>
        <w:t xml:space="preserve">     |            |--JSON&gt;|        |        |      |         |          |        |</w:t>
        <w:br/>
        <w:t xml:space="preserve">     |            |&lt;Alert-|        |        |      |         |          |        |</w:t>
        <w:br/>
        <w:t xml:space="preserve">     |            |--------------read------&gt;|      |         |          |        |</w:t>
        <w:br/>
        <w:t xml:space="preserve">     |            |&lt;---------tags+hostname--|      |         |          |        |</w:t>
        <w:br/>
        <w:t xml:space="preserve">     |            |----------------policy---------&gt;|         |          |        |</w:t>
        <w:br/>
        <w:t xml:space="preserve">     |            |----------------reserve---------------&gt;|  |          |        |</w:t>
        <w:br/>
        <w:t xml:space="preserve">     |            |--------------------------------restart---&gt;|          |        |</w:t>
        <w:br/>
        <w:t xml:space="preserve">     |            |----------------------------------------------probe--&gt;|        |</w:t>
        <w:br/>
        <w:t xml:space="preserve">     |            |----------------finalize----------------&gt;|          |        |</w:t>
        <w:br/>
        <w:t xml:space="preserve">     |            |--------------------------------------------------log-------&gt;|</w:t>
        <w:br/>
        <w:t xml:space="preserve">     |            |&lt;--------------------HTTP result---------------------------  |</w:t>
      </w:r>
    </w:p>
    <w:p>
      <w:pPr>
        <w:pStyle w:val="Heading1"/>
      </w:pPr>
      <w:r>
        <w:t>9. Policy Inputs and Configuration</w:t>
      </w:r>
    </w:p>
    <w:p>
      <w:pPr>
        <w:pStyle w:val="Heading2"/>
      </w:pPr>
      <w:r>
        <w:t>9.1 Required Resource Tags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2F5597"/>
          </w:tcPr>
          <w:p>
            <w:r/>
            <w:r>
              <w:rPr>
                <w:b/>
                <w:color w:val="FFFFFF"/>
                <w:sz w:val="18"/>
              </w:rPr>
              <w:t>Tag</w:t>
            </w:r>
          </w:p>
        </w:tc>
        <w:tc>
          <w:tcPr>
            <w:tcW w:type="dxa" w:w="3600"/>
            <w:vAlign w:val="center"/>
            <w:shd w:fill="2F5597"/>
          </w:tcPr>
          <w:p>
            <w:r/>
            <w:r>
              <w:rPr>
                <w:b/>
                <w:color w:val="FFFFFF"/>
                <w:sz w:val="18"/>
              </w:rPr>
              <w:t>Required value / format</w:t>
            </w:r>
          </w:p>
        </w:tc>
        <w:tc>
          <w:tcPr>
            <w:tcW w:type="dxa" w:w="3888"/>
            <w:vAlign w:val="center"/>
            <w:shd w:fill="2F5597"/>
          </w:tcPr>
          <w:p>
            <w:r/>
            <w:r>
              <w:rPr>
                <w:b/>
                <w:color w:val="FFFFFF"/>
                <w:sz w:val="18"/>
              </w:rPr>
              <w:t>Reason</w:t>
            </w:r>
          </w:p>
        </w:tc>
      </w:tr>
      <w:tr>
        <w:tc>
          <w:tcPr>
            <w:tcW w:type="dxa" w:w="2592"/>
            <w:vAlign w:val="center"/>
          </w:tcPr>
          <w:p>
            <w:r/>
            <w:r>
              <w:rPr>
                <w:b w:val="0"/>
                <w:sz w:val="18"/>
              </w:rPr>
              <w:t>SelfHeal</w:t>
            </w:r>
          </w:p>
        </w:tc>
        <w:tc>
          <w:tcPr>
            <w:tcW w:type="dxa" w:w="3600"/>
            <w:vAlign w:val="center"/>
          </w:tcPr>
          <w:p>
            <w:r/>
            <w:r>
              <w:rPr>
                <w:b w:val="0"/>
                <w:sz w:val="18"/>
              </w:rPr>
              <w:t>Enabled</w:t>
            </w:r>
          </w:p>
        </w:tc>
        <w:tc>
          <w:tcPr>
            <w:tcW w:type="dxa" w:w="3888"/>
            <w:vAlign w:val="center"/>
          </w:tcPr>
          <w:p>
            <w:r/>
            <w:r>
              <w:rPr>
                <w:b w:val="0"/>
                <w:sz w:val="18"/>
              </w:rPr>
              <w:t>Explicit resource opt-in.</w:t>
            </w:r>
          </w:p>
        </w:tc>
      </w:tr>
      <w:tr>
        <w:tc>
          <w:tcPr>
            <w:tcW w:type="dxa" w:w="2592"/>
            <w:vAlign w:val="center"/>
            <w:shd w:fill="EAF0F8"/>
          </w:tcPr>
          <w:p>
            <w:r/>
            <w:r>
              <w:rPr>
                <w:b w:val="0"/>
                <w:sz w:val="18"/>
              </w:rPr>
              <w:t>SelfHealAction</w:t>
            </w:r>
          </w:p>
        </w:tc>
        <w:tc>
          <w:tcPr>
            <w:tcW w:type="dxa" w:w="3600"/>
            <w:vAlign w:val="center"/>
            <w:shd w:fill="EAF0F8"/>
          </w:tcPr>
          <w:p>
            <w:r/>
            <w:r>
              <w:rPr>
                <w:b w:val="0"/>
                <w:sz w:val="18"/>
              </w:rPr>
              <w:t>Restart</w:t>
            </w:r>
          </w:p>
        </w:tc>
        <w:tc>
          <w:tcPr>
            <w:tcW w:type="dxa" w:w="3888"/>
            <w:vAlign w:val="center"/>
            <w:shd w:fill="EAF0F8"/>
          </w:tcPr>
          <w:p>
            <w:r/>
            <w:r>
              <w:rPr>
                <w:b w:val="0"/>
                <w:sz w:val="18"/>
              </w:rPr>
              <w:t>Explicit action authorization.</w:t>
            </w:r>
          </w:p>
        </w:tc>
      </w:tr>
      <w:tr>
        <w:tc>
          <w:tcPr>
            <w:tcW w:type="dxa" w:w="2592"/>
            <w:vAlign w:val="center"/>
          </w:tcPr>
          <w:p>
            <w:r/>
            <w:r>
              <w:rPr>
                <w:b w:val="0"/>
                <w:sz w:val="18"/>
              </w:rPr>
              <w:t>SelfHealAlertRules</w:t>
            </w:r>
          </w:p>
        </w:tc>
        <w:tc>
          <w:tcPr>
            <w:tcW w:type="dxa" w:w="3600"/>
            <w:vAlign w:val="center"/>
          </w:tcPr>
          <w:p>
            <w:r/>
            <w:r>
              <w:rPr>
                <w:b w:val="0"/>
                <w:sz w:val="18"/>
              </w:rPr>
              <w:t>Comma-separated exact alert rule names</w:t>
            </w:r>
          </w:p>
        </w:tc>
        <w:tc>
          <w:tcPr>
            <w:tcW w:type="dxa" w:w="3888"/>
            <w:vAlign w:val="center"/>
          </w:tcPr>
          <w:p>
            <w:r/>
            <w:r>
              <w:rPr>
                <w:b w:val="0"/>
                <w:sz w:val="18"/>
              </w:rPr>
              <w:t>Prevents an unrelated alert from triggering restart.</w:t>
            </w:r>
          </w:p>
        </w:tc>
      </w:tr>
      <w:tr>
        <w:tc>
          <w:tcPr>
            <w:tcW w:type="dxa" w:w="2592"/>
            <w:vAlign w:val="center"/>
            <w:shd w:fill="EAF0F8"/>
          </w:tcPr>
          <w:p>
            <w:r/>
            <w:r>
              <w:rPr>
                <w:b w:val="0"/>
                <w:sz w:val="18"/>
              </w:rPr>
              <w:t>Environment</w:t>
            </w:r>
          </w:p>
        </w:tc>
        <w:tc>
          <w:tcPr>
            <w:tcW w:type="dxa" w:w="3600"/>
            <w:vAlign w:val="center"/>
            <w:shd w:fill="EAF0F8"/>
          </w:tcPr>
          <w:p>
            <w:r/>
            <w:r>
              <w:rPr>
                <w:b w:val="0"/>
                <w:sz w:val="18"/>
              </w:rPr>
              <w:t>One ALLOWED_ENVIRONMENTS value</w:t>
            </w:r>
          </w:p>
        </w:tc>
        <w:tc>
          <w:tcPr>
            <w:tcW w:type="dxa" w:w="3888"/>
            <w:vAlign w:val="center"/>
            <w:shd w:fill="EAF0F8"/>
          </w:tcPr>
          <w:p>
            <w:r/>
            <w:r>
              <w:rPr>
                <w:b w:val="0"/>
                <w:sz w:val="18"/>
              </w:rPr>
              <w:t>Controls staged rollout.</w:t>
            </w:r>
          </w:p>
        </w:tc>
      </w:tr>
      <w:tr>
        <w:tc>
          <w:tcPr>
            <w:tcW w:type="dxa" w:w="2592"/>
            <w:vAlign w:val="center"/>
          </w:tcPr>
          <w:p>
            <w:r/>
            <w:r>
              <w:rPr>
                <w:b w:val="0"/>
                <w:sz w:val="18"/>
              </w:rPr>
              <w:t>SelfHealPaused</w:t>
            </w:r>
          </w:p>
        </w:tc>
        <w:tc>
          <w:tcPr>
            <w:tcW w:type="dxa" w:w="3600"/>
            <w:vAlign w:val="center"/>
          </w:tcPr>
          <w:p>
            <w:r/>
            <w:r>
              <w:rPr>
                <w:b w:val="0"/>
                <w:sz w:val="18"/>
              </w:rPr>
              <w:t>Optional true/yes/1</w:t>
            </w:r>
          </w:p>
        </w:tc>
        <w:tc>
          <w:tcPr>
            <w:tcW w:type="dxa" w:w="3888"/>
            <w:vAlign w:val="center"/>
          </w:tcPr>
          <w:p>
            <w:r/>
            <w:r>
              <w:rPr>
                <w:b w:val="0"/>
                <w:sz w:val="18"/>
              </w:rPr>
              <w:t>Immediate per-resource stop.</w:t>
            </w:r>
          </w:p>
        </w:tc>
      </w:tr>
      <w:tr>
        <w:tc>
          <w:tcPr>
            <w:tcW w:type="dxa" w:w="2592"/>
            <w:vAlign w:val="center"/>
            <w:shd w:fill="EAF0F8"/>
          </w:tcPr>
          <w:p>
            <w:r/>
            <w:r>
              <w:rPr>
                <w:b w:val="0"/>
                <w:sz w:val="18"/>
              </w:rPr>
              <w:t>SelfHealHealthPath</w:t>
            </w:r>
          </w:p>
        </w:tc>
        <w:tc>
          <w:tcPr>
            <w:tcW w:type="dxa" w:w="3600"/>
            <w:vAlign w:val="center"/>
            <w:shd w:fill="EAF0F8"/>
          </w:tcPr>
          <w:p>
            <w:r/>
            <w:r>
              <w:rPr>
                <w:b w:val="0"/>
                <w:sz w:val="18"/>
              </w:rPr>
              <w:t>Optional relative path; default /health</w:t>
            </w:r>
          </w:p>
        </w:tc>
        <w:tc>
          <w:tcPr>
            <w:tcW w:type="dxa" w:w="3888"/>
            <w:vAlign w:val="center"/>
            <w:shd w:fill="EAF0F8"/>
          </w:tcPr>
          <w:p>
            <w:r/>
            <w:r>
              <w:rPr>
                <w:b w:val="0"/>
                <w:sz w:val="18"/>
              </w:rPr>
              <w:t>Defines validation without allowing an arbitrary host.</w:t>
            </w:r>
          </w:p>
        </w:tc>
      </w:tr>
    </w:tbl>
    <w:p>
      <w:pPr>
        <w:spacing w:after="0"/>
      </w:pPr>
    </w:p>
    <w:p>
      <w:pPr>
        <w:pStyle w:val="Heading2"/>
      </w:pPr>
      <w:r>
        <w:t>9.2 Environment Settings</w:t>
      </w:r>
    </w:p>
    <w:tbl>
      <w:tblPr>
        <w:tblStyle w:val="TableGrid"/>
        <w:tblW w:type="auto" w:w="0"/>
        <w:jc w:val="center"/>
        <w:tblLook w:firstColumn="1" w:firstRow="1" w:lastColumn="0" w:lastRow="0" w:noHBand="0" w:noVBand="1" w:val="04A0"/>
      </w:tblPr>
      <w:tblGrid>
        <w:gridCol w:w="3360"/>
        <w:gridCol w:w="3360"/>
        <w:gridCol w:w="3360"/>
      </w:tblGrid>
      <w:tr>
        <w:tc>
          <w:tcPr>
            <w:tcW w:type="dxa" w:w="3456"/>
            <w:vAlign w:val="center"/>
            <w:shd w:fill="2F5597"/>
          </w:tcPr>
          <w:p>
            <w:r/>
            <w:r>
              <w:rPr>
                <w:b/>
                <w:color w:val="FFFFFF"/>
                <w:sz w:val="18"/>
              </w:rPr>
              <w:t>Setting</w:t>
            </w:r>
          </w:p>
        </w:tc>
        <w:tc>
          <w:tcPr>
            <w:tcW w:type="dxa" w:w="2304"/>
            <w:vAlign w:val="center"/>
            <w:shd w:fill="2F5597"/>
          </w:tcPr>
          <w:p>
            <w:r/>
            <w:r>
              <w:rPr>
                <w:b/>
                <w:color w:val="FFFFFF"/>
                <w:sz w:val="18"/>
              </w:rPr>
              <w:t>Default</w:t>
            </w:r>
          </w:p>
        </w:tc>
        <w:tc>
          <w:tcPr>
            <w:tcW w:type="dxa" w:w="4320"/>
            <w:vAlign w:val="center"/>
            <w:shd w:fill="2F5597"/>
          </w:tcPr>
          <w:p>
            <w:r/>
            <w:r>
              <w:rPr>
                <w:b/>
                <w:color w:val="FFFFFF"/>
                <w:sz w:val="18"/>
              </w:rPr>
              <w:t>Effect</w:t>
            </w:r>
          </w:p>
        </w:tc>
      </w:tr>
      <w:tr>
        <w:tc>
          <w:tcPr>
            <w:tcW w:type="dxa" w:w="3456"/>
            <w:vAlign w:val="center"/>
          </w:tcPr>
          <w:p>
            <w:r/>
            <w:r>
              <w:rPr>
                <w:b w:val="0"/>
                <w:sz w:val="18"/>
              </w:rPr>
              <w:t>DRY_RUN</w:t>
            </w:r>
          </w:p>
        </w:tc>
        <w:tc>
          <w:tcPr>
            <w:tcW w:type="dxa" w:w="2304"/>
            <w:vAlign w:val="center"/>
          </w:tcPr>
          <w:p>
            <w:r/>
            <w:r>
              <w:rPr>
                <w:b w:val="0"/>
                <w:sz w:val="18"/>
              </w:rPr>
              <w:t>true</w:t>
            </w:r>
          </w:p>
        </w:tc>
        <w:tc>
          <w:tcPr>
            <w:tcW w:type="dxa" w:w="4320"/>
            <w:vAlign w:val="center"/>
          </w:tcPr>
          <w:p>
            <w:r/>
            <w:r>
              <w:rPr>
                <w:b w:val="0"/>
                <w:sz w:val="18"/>
              </w:rPr>
              <w:t>Records approved intent but prevents reservation and restart.</w:t>
            </w:r>
          </w:p>
        </w:tc>
      </w:tr>
      <w:tr>
        <w:tc>
          <w:tcPr>
            <w:tcW w:type="dxa" w:w="3456"/>
            <w:vAlign w:val="center"/>
            <w:shd w:fill="EAF0F8"/>
          </w:tcPr>
          <w:p>
            <w:r/>
            <w:r>
              <w:rPr>
                <w:b w:val="0"/>
                <w:sz w:val="18"/>
              </w:rPr>
              <w:t>ALLOWED_ENVIRONMENTS</w:t>
            </w:r>
          </w:p>
        </w:tc>
        <w:tc>
          <w:tcPr>
            <w:tcW w:type="dxa" w:w="2304"/>
            <w:vAlign w:val="center"/>
            <w:shd w:fill="EAF0F8"/>
          </w:tcPr>
          <w:p>
            <w:r/>
            <w:r>
              <w:rPr>
                <w:b w:val="0"/>
                <w:sz w:val="18"/>
              </w:rPr>
              <w:t>dev,test,staging</w:t>
            </w:r>
          </w:p>
        </w:tc>
        <w:tc>
          <w:tcPr>
            <w:tcW w:type="dxa" w:w="4320"/>
            <w:vAlign w:val="center"/>
            <w:shd w:fill="EAF0F8"/>
          </w:tcPr>
          <w:p>
            <w:r/>
            <w:r>
              <w:rPr>
                <w:b w:val="0"/>
                <w:sz w:val="18"/>
              </w:rPr>
              <w:t>Accepted Environment tag values.</w:t>
            </w:r>
          </w:p>
        </w:tc>
      </w:tr>
      <w:tr>
        <w:tc>
          <w:tcPr>
            <w:tcW w:type="dxa" w:w="3456"/>
            <w:vAlign w:val="center"/>
          </w:tcPr>
          <w:p>
            <w:r/>
            <w:r>
              <w:rPr>
                <w:b w:val="0"/>
                <w:sz w:val="18"/>
              </w:rPr>
              <w:t>ALLOWED_SEVERITIES</w:t>
            </w:r>
          </w:p>
        </w:tc>
        <w:tc>
          <w:tcPr>
            <w:tcW w:type="dxa" w:w="2304"/>
            <w:vAlign w:val="center"/>
          </w:tcPr>
          <w:p>
            <w:r/>
            <w:r>
              <w:rPr>
                <w:b w:val="0"/>
                <w:sz w:val="18"/>
              </w:rPr>
              <w:t>Sev0,Sev1,Sev2,Sev3</w:t>
            </w:r>
          </w:p>
        </w:tc>
        <w:tc>
          <w:tcPr>
            <w:tcW w:type="dxa" w:w="4320"/>
            <w:vAlign w:val="center"/>
          </w:tcPr>
          <w:p>
            <w:r/>
            <w:r>
              <w:rPr>
                <w:b w:val="0"/>
                <w:sz w:val="18"/>
              </w:rPr>
              <w:t>Accepted Azure Monitor severities.</w:t>
            </w:r>
          </w:p>
        </w:tc>
      </w:tr>
      <w:tr>
        <w:tc>
          <w:tcPr>
            <w:tcW w:type="dxa" w:w="3456"/>
            <w:vAlign w:val="center"/>
            <w:shd w:fill="EAF0F8"/>
          </w:tcPr>
          <w:p>
            <w:r/>
            <w:r>
              <w:rPr>
                <w:b w:val="0"/>
                <w:sz w:val="18"/>
              </w:rPr>
              <w:t>COOLDOWN_MINUTES</w:t>
            </w:r>
          </w:p>
        </w:tc>
        <w:tc>
          <w:tcPr>
            <w:tcW w:type="dxa" w:w="2304"/>
            <w:vAlign w:val="center"/>
            <w:shd w:fill="EAF0F8"/>
          </w:tcPr>
          <w:p>
            <w:r/>
            <w:r>
              <w:rPr>
                <w:b w:val="0"/>
                <w:sz w:val="18"/>
              </w:rPr>
              <w:t>30</w:t>
            </w:r>
          </w:p>
        </w:tc>
        <w:tc>
          <w:tcPr>
            <w:tcW w:type="dxa" w:w="4320"/>
            <w:vAlign w:val="center"/>
            <w:shd w:fill="EAF0F8"/>
          </w:tcPr>
          <w:p>
            <w:r/>
            <w:r>
              <w:rPr>
                <w:b w:val="0"/>
                <w:sz w:val="18"/>
              </w:rPr>
              <w:t>Rolling lookback for attempt counting.</w:t>
            </w:r>
          </w:p>
        </w:tc>
      </w:tr>
      <w:tr>
        <w:tc>
          <w:tcPr>
            <w:tcW w:type="dxa" w:w="3456"/>
            <w:vAlign w:val="center"/>
          </w:tcPr>
          <w:p>
            <w:r/>
            <w:r>
              <w:rPr>
                <w:b w:val="0"/>
                <w:sz w:val="18"/>
              </w:rPr>
              <w:t>MAX_ATTEMPTS</w:t>
            </w:r>
          </w:p>
        </w:tc>
        <w:tc>
          <w:tcPr>
            <w:tcW w:type="dxa" w:w="2304"/>
            <w:vAlign w:val="center"/>
          </w:tcPr>
          <w:p>
            <w:r/>
            <w:r>
              <w:rPr>
                <w:b w:val="0"/>
                <w:sz w:val="18"/>
              </w:rPr>
              <w:t>1</w:t>
            </w:r>
          </w:p>
        </w:tc>
        <w:tc>
          <w:tcPr>
            <w:tcW w:type="dxa" w:w="4320"/>
            <w:vAlign w:val="center"/>
          </w:tcPr>
          <w:p>
            <w:r/>
            <w:r>
              <w:rPr>
                <w:b w:val="0"/>
                <w:sz w:val="18"/>
              </w:rPr>
              <w:t>Maximum attempts per resource inside cooldown.</w:t>
            </w:r>
          </w:p>
        </w:tc>
      </w:tr>
      <w:tr>
        <w:tc>
          <w:tcPr>
            <w:tcW w:type="dxa" w:w="3456"/>
            <w:vAlign w:val="center"/>
            <w:shd w:fill="EAF0F8"/>
          </w:tcPr>
          <w:p>
            <w:r/>
            <w:r>
              <w:rPr>
                <w:b w:val="0"/>
                <w:sz w:val="18"/>
              </w:rPr>
              <w:t>STABILIZATION_SECONDS</w:t>
            </w:r>
          </w:p>
        </w:tc>
        <w:tc>
          <w:tcPr>
            <w:tcW w:type="dxa" w:w="2304"/>
            <w:vAlign w:val="center"/>
            <w:shd w:fill="EAF0F8"/>
          </w:tcPr>
          <w:p>
            <w:r/>
            <w:r>
              <w:rPr>
                <w:b w:val="0"/>
                <w:sz w:val="18"/>
              </w:rPr>
              <w:t>30</w:t>
            </w:r>
          </w:p>
        </w:tc>
        <w:tc>
          <w:tcPr>
            <w:tcW w:type="dxa" w:w="4320"/>
            <w:vAlign w:val="center"/>
            <w:shd w:fill="EAF0F8"/>
          </w:tcPr>
          <w:p>
            <w:r/>
            <w:r>
              <w:rPr>
                <w:b w:val="0"/>
                <w:sz w:val="18"/>
              </w:rPr>
              <w:t>Wait before first post-restart probe.</w:t>
            </w:r>
          </w:p>
        </w:tc>
      </w:tr>
      <w:tr>
        <w:tc>
          <w:tcPr>
            <w:tcW w:type="dxa" w:w="3456"/>
            <w:vAlign w:val="center"/>
          </w:tcPr>
          <w:p>
            <w:r/>
            <w:r>
              <w:rPr>
                <w:b w:val="0"/>
                <w:sz w:val="18"/>
              </w:rPr>
              <w:t>VALIDATION_ATTEMPTS</w:t>
            </w:r>
          </w:p>
        </w:tc>
        <w:tc>
          <w:tcPr>
            <w:tcW w:type="dxa" w:w="2304"/>
            <w:vAlign w:val="center"/>
          </w:tcPr>
          <w:p>
            <w:r/>
            <w:r>
              <w:rPr>
                <w:b w:val="0"/>
                <w:sz w:val="18"/>
              </w:rPr>
              <w:t>3</w:t>
            </w:r>
          </w:p>
        </w:tc>
        <w:tc>
          <w:tcPr>
            <w:tcW w:type="dxa" w:w="4320"/>
            <w:vAlign w:val="center"/>
          </w:tcPr>
          <w:p>
            <w:r/>
            <w:r>
              <w:rPr>
                <w:b w:val="0"/>
                <w:sz w:val="18"/>
              </w:rPr>
              <w:t>Maximum health requests.</w:t>
            </w:r>
          </w:p>
        </w:tc>
      </w:tr>
      <w:tr>
        <w:tc>
          <w:tcPr>
            <w:tcW w:type="dxa" w:w="3456"/>
            <w:vAlign w:val="center"/>
            <w:shd w:fill="EAF0F8"/>
          </w:tcPr>
          <w:p>
            <w:r/>
            <w:r>
              <w:rPr>
                <w:b w:val="0"/>
                <w:sz w:val="18"/>
              </w:rPr>
              <w:t>VALIDATION_TIMEOUT_SECONDS</w:t>
            </w:r>
          </w:p>
        </w:tc>
        <w:tc>
          <w:tcPr>
            <w:tcW w:type="dxa" w:w="2304"/>
            <w:vAlign w:val="center"/>
            <w:shd w:fill="EAF0F8"/>
          </w:tcPr>
          <w:p>
            <w:r/>
            <w:r>
              <w:rPr>
                <w:b w:val="0"/>
                <w:sz w:val="18"/>
              </w:rPr>
              <w:t>10</w:t>
            </w:r>
          </w:p>
        </w:tc>
        <w:tc>
          <w:tcPr>
            <w:tcW w:type="dxa" w:w="4320"/>
            <w:vAlign w:val="center"/>
            <w:shd w:fill="EAF0F8"/>
          </w:tcPr>
          <w:p>
            <w:r/>
            <w:r>
              <w:rPr>
                <w:b w:val="0"/>
                <w:sz w:val="18"/>
              </w:rPr>
              <w:t>Per-request network timeout.</w:t>
            </w:r>
          </w:p>
        </w:tc>
      </w:tr>
      <w:tr>
        <w:tc>
          <w:tcPr>
            <w:tcW w:type="dxa" w:w="3456"/>
            <w:vAlign w:val="center"/>
          </w:tcPr>
          <w:p>
            <w:r/>
            <w:r>
              <w:rPr>
                <w:b w:val="0"/>
                <w:sz w:val="18"/>
              </w:rPr>
              <w:t>STATE_TABLE_NAME</w:t>
            </w:r>
          </w:p>
        </w:tc>
        <w:tc>
          <w:tcPr>
            <w:tcW w:type="dxa" w:w="2304"/>
            <w:vAlign w:val="center"/>
          </w:tcPr>
          <w:p>
            <w:r/>
            <w:r>
              <w:rPr>
                <w:b w:val="0"/>
                <w:sz w:val="18"/>
              </w:rPr>
              <w:t>healingattempts</w:t>
            </w:r>
          </w:p>
        </w:tc>
        <w:tc>
          <w:tcPr>
            <w:tcW w:type="dxa" w:w="4320"/>
            <w:vAlign w:val="center"/>
          </w:tcPr>
          <w:p>
            <w:r/>
            <w:r>
              <w:rPr>
                <w:b w:val="0"/>
                <w:sz w:val="18"/>
              </w:rPr>
              <w:t>Durable attempt table.</w:t>
            </w:r>
          </w:p>
        </w:tc>
      </w:tr>
      <w:tr>
        <w:tc>
          <w:tcPr>
            <w:tcW w:type="dxa" w:w="3456"/>
            <w:vAlign w:val="center"/>
            <w:shd w:fill="EAF0F8"/>
          </w:tcPr>
          <w:p>
            <w:r/>
            <w:r>
              <w:rPr>
                <w:b w:val="0"/>
                <w:sz w:val="18"/>
              </w:rPr>
              <w:t>STATE_STORAGE_ACCOUNT_URL</w:t>
            </w:r>
          </w:p>
        </w:tc>
        <w:tc>
          <w:tcPr>
            <w:tcW w:type="dxa" w:w="2304"/>
            <w:vAlign w:val="center"/>
            <w:shd w:fill="EAF0F8"/>
          </w:tcPr>
          <w:p>
            <w:r/>
            <w:r>
              <w:rPr>
                <w:b w:val="0"/>
                <w:sz w:val="18"/>
              </w:rPr>
              <w:t>Deployment-specific</w:t>
            </w:r>
          </w:p>
        </w:tc>
        <w:tc>
          <w:tcPr>
            <w:tcW w:type="dxa" w:w="4320"/>
            <w:vAlign w:val="center"/>
            <w:shd w:fill="EAF0F8"/>
          </w:tcPr>
          <w:p>
            <w:r/>
            <w:r>
              <w:rPr>
                <w:b w:val="0"/>
                <w:sz w:val="18"/>
              </w:rPr>
              <w:t>Managed-identity Table service endpoint.</w:t>
            </w:r>
          </w:p>
        </w:tc>
      </w:tr>
    </w:tbl>
    <w:p>
      <w:pPr>
        <w:spacing w:after="0"/>
      </w:pPr>
    </w:p>
    <w:p>
      <w:pPr>
        <w:pStyle w:val="Heading1"/>
      </w:pPr>
      <w:r>
        <w:t>10. Security and Reliability Controls</w:t>
      </w:r>
    </w:p>
    <w:p>
      <w:pPr>
        <w:pStyle w:val="ListBullet"/>
        <w:spacing w:after="40"/>
      </w:pPr>
      <w:r>
        <w:t>No application credential is stored in code or configuration; Azure access uses managed identity.</w:t>
      </w:r>
    </w:p>
    <w:p>
      <w:pPr>
        <w:pStyle w:val="ListBullet"/>
        <w:spacing w:after="40"/>
      </w:pPr>
      <w:r>
        <w:t>The Function HTTP trigger requires a function key and is intended to be connected through an Action Group Azure Function receiver.</w:t>
      </w:r>
    </w:p>
    <w:p>
      <w:pPr>
        <w:pStyle w:val="ListBullet"/>
        <w:spacing w:after="40"/>
      </w:pPr>
      <w:r>
        <w:t>Resource IDs are parsed with an anchored pattern and only one top-level App Service is supported.</w:t>
      </w:r>
    </w:p>
    <w:p>
      <w:pPr>
        <w:pStyle w:val="ListBullet"/>
        <w:spacing w:after="40"/>
      </w:pPr>
      <w:r>
        <w:t>Azure resource tags, not alert-supplied metadata, determine eligibility and validation path.</w:t>
      </w:r>
    </w:p>
    <w:p>
      <w:pPr>
        <w:pStyle w:val="ListBullet"/>
        <w:spacing w:after="40"/>
      </w:pPr>
      <w:r>
        <w:t>Health validation cannot change the hostname and rejects protocol-relative or backslash paths, reducing SSRF risk.</w:t>
      </w:r>
    </w:p>
    <w:p>
      <w:pPr>
        <w:pStyle w:val="ListBullet"/>
        <w:spacing w:after="40"/>
      </w:pPr>
      <w:r>
        <w:t>Alert IDs and resource IDs are SHA-256 hashed for Azure Table keys while originals remain as queryable properties.</w:t>
      </w:r>
    </w:p>
    <w:p>
      <w:pPr>
        <w:pStyle w:val="ListBullet"/>
        <w:spacing w:after="40"/>
      </w:pPr>
      <w:r>
        <w:t>Table create semantics deduplicate concurrent delivery of the same alert.</w:t>
      </w:r>
    </w:p>
    <w:p>
      <w:pPr>
        <w:pStyle w:val="ListBullet"/>
        <w:spacing w:after="40"/>
      </w:pPr>
      <w:r>
        <w:t>A custom role permits read and restart but not write, delete, deployment, slot swap, or broad Contributor actions.</w:t>
      </w:r>
    </w:p>
    <w:p>
      <w:pPr>
        <w:pStyle w:val="ListBullet"/>
        <w:spacing w:after="40"/>
      </w:pPr>
      <w:r>
        <w:t>Dry-run is enabled in Bicep and application defaults; production requires an explicit configuration change.</w:t>
      </w:r>
    </w:p>
    <w:p>
      <w:pPr>
        <w:pStyle w:val="ListBullet"/>
        <w:spacing w:after="40"/>
      </w:pPr>
      <w:r>
        <w:t>Exceptions are logged internally while public responses use the exception type rather than potentially sensitive SDK messages.</w:t>
      </w:r>
    </w:p>
    <w:p>
      <w:pPr>
        <w:pStyle w:val="Heading1"/>
      </w:pPr>
      <w:r>
        <w:t>11. Operations and Observability</w:t>
      </w:r>
    </w:p>
    <w:p>
      <w:r>
        <w:t>Application Insights receives a “Self-healing result” trace with the result dictionary under custom dimensions. Operators can group by decision, outcome, resource, and reason. Azure Table Storage retains one entity per alert attempt for durable correlation.</w:t>
      </w:r>
    </w:p>
    <w:p>
      <w:pPr>
        <w:pStyle w:val="ListBullet"/>
        <w:spacing w:after="40"/>
      </w:pPr>
      <w:r>
        <w:t>Create a separate Azure Monitor log alert when outcome=failed or validationStatus=failed.</w:t>
      </w:r>
    </w:p>
    <w:p>
      <w:pPr>
        <w:pStyle w:val="ListBullet"/>
        <w:spacing w:after="40"/>
      </w:pPr>
      <w:r>
        <w:t>Route escalation alerts to ITSM, Teams, email, or an on-call system independently from mutation logic.</w:t>
      </w:r>
    </w:p>
    <w:p>
      <w:pPr>
        <w:pStyle w:val="ListBullet"/>
        <w:spacing w:after="40"/>
      </w:pPr>
      <w:r>
        <w:t>Monitor Function exceptions and state-storage errors because those indicate the agent could not complete its audit workflow.</w:t>
      </w:r>
    </w:p>
    <w:p>
      <w:pPr>
        <w:pStyle w:val="ListBullet"/>
        <w:spacing w:after="40"/>
      </w:pPr>
      <w:r>
        <w:t>Review repeated denials and failures to tune alert rules, health paths, cooldowns, and ownership—not to bypass policy controls.</w:t>
      </w:r>
    </w:p>
    <w:p>
      <w:pPr>
        <w:pStyle w:val="ListBullet"/>
        <w:spacing w:after="40"/>
      </w:pPr>
      <w:r>
        <w:t>Keep the remediation role scoped to the smallest practical resource set; the Bicep default resource-group scope can be narrowed per App Service.</w:t>
      </w:r>
    </w:p>
    <w:p>
      <w:pPr>
        <w:pStyle w:val="Heading2"/>
      </w:pPr>
      <w:r>
        <w:t>11.1 Recommended Dashboard Measures</w:t>
      </w:r>
    </w:p>
    <w:tbl>
      <w:tblPr>
        <w:tblStyle w:val="TableGrid"/>
        <w:tblW w:type="auto" w:w="0"/>
        <w:jc w:val="center"/>
        <w:tblLook w:firstColumn="1" w:firstRow="1" w:lastColumn="0" w:lastRow="0" w:noHBand="0" w:noVBand="1" w:val="04A0"/>
      </w:tblPr>
      <w:tblGrid>
        <w:gridCol w:w="5040"/>
        <w:gridCol w:w="5040"/>
      </w:tblGrid>
      <w:tr>
        <w:tc>
          <w:tcPr>
            <w:tcW w:type="dxa" w:w="3744"/>
            <w:vAlign w:val="center"/>
            <w:shd w:fill="2F5597"/>
          </w:tcPr>
          <w:p>
            <w:r/>
            <w:r>
              <w:rPr>
                <w:b/>
                <w:color w:val="FFFFFF"/>
                <w:sz w:val="18"/>
              </w:rPr>
              <w:t>Measure</w:t>
            </w:r>
          </w:p>
        </w:tc>
        <w:tc>
          <w:tcPr>
            <w:tcW w:type="dxa" w:w="6336"/>
            <w:vAlign w:val="center"/>
            <w:shd w:fill="2F5597"/>
          </w:tcPr>
          <w:p>
            <w:r/>
            <w:r>
              <w:rPr>
                <w:b/>
                <w:color w:val="FFFFFF"/>
                <w:sz w:val="18"/>
              </w:rPr>
              <w:t>Derived from</w:t>
            </w:r>
          </w:p>
        </w:tc>
      </w:tr>
      <w:tr>
        <w:tc>
          <w:tcPr>
            <w:tcW w:type="dxa" w:w="3744"/>
            <w:vAlign w:val="center"/>
          </w:tcPr>
          <w:p>
            <w:r/>
            <w:r>
              <w:rPr>
                <w:b w:val="0"/>
                <w:sz w:val="18"/>
              </w:rPr>
              <w:t>Approval and dry-run rate</w:t>
            </w:r>
          </w:p>
        </w:tc>
        <w:tc>
          <w:tcPr>
            <w:tcW w:type="dxa" w:w="6336"/>
            <w:vAlign w:val="center"/>
          </w:tcPr>
          <w:p>
            <w:r/>
            <w:r>
              <w:rPr>
                <w:b w:val="0"/>
                <w:sz w:val="18"/>
              </w:rPr>
              <w:t>decision field by time and environment.</w:t>
            </w:r>
          </w:p>
        </w:tc>
      </w:tr>
      <w:tr>
        <w:tc>
          <w:tcPr>
            <w:tcW w:type="dxa" w:w="3744"/>
            <w:vAlign w:val="center"/>
            <w:shd w:fill="EAF0F8"/>
          </w:tcPr>
          <w:p>
            <w:r/>
            <w:r>
              <w:rPr>
                <w:b w:val="0"/>
                <w:sz w:val="18"/>
              </w:rPr>
              <w:t>Successful recovery rate</w:t>
            </w:r>
          </w:p>
        </w:tc>
        <w:tc>
          <w:tcPr>
            <w:tcW w:type="dxa" w:w="6336"/>
            <w:vAlign w:val="center"/>
            <w:shd w:fill="EAF0F8"/>
          </w:tcPr>
          <w:p>
            <w:r/>
            <w:r>
              <w:rPr>
                <w:b w:val="0"/>
                <w:sz w:val="18"/>
              </w:rPr>
              <w:t>outcome=succeeded divided by approved executions.</w:t>
            </w:r>
          </w:p>
        </w:tc>
      </w:tr>
      <w:tr>
        <w:tc>
          <w:tcPr>
            <w:tcW w:type="dxa" w:w="3744"/>
            <w:vAlign w:val="center"/>
          </w:tcPr>
          <w:p>
            <w:r/>
            <w:r>
              <w:rPr>
                <w:b w:val="0"/>
                <w:sz w:val="18"/>
              </w:rPr>
              <w:t>Validation failure rate</w:t>
            </w:r>
          </w:p>
        </w:tc>
        <w:tc>
          <w:tcPr>
            <w:tcW w:type="dxa" w:w="6336"/>
            <w:vAlign w:val="center"/>
          </w:tcPr>
          <w:p>
            <w:r/>
            <w:r>
              <w:rPr>
                <w:b w:val="0"/>
                <w:sz w:val="18"/>
              </w:rPr>
              <w:t>validationStatus=failed.</w:t>
            </w:r>
          </w:p>
        </w:tc>
      </w:tr>
      <w:tr>
        <w:tc>
          <w:tcPr>
            <w:tcW w:type="dxa" w:w="3744"/>
            <w:vAlign w:val="center"/>
            <w:shd w:fill="EAF0F8"/>
          </w:tcPr>
          <w:p>
            <w:r/>
            <w:r>
              <w:rPr>
                <w:b w:val="0"/>
                <w:sz w:val="18"/>
              </w:rPr>
              <w:t>Mean remediation duration</w:t>
            </w:r>
          </w:p>
        </w:tc>
        <w:tc>
          <w:tcPr>
            <w:tcW w:type="dxa" w:w="6336"/>
            <w:vAlign w:val="center"/>
            <w:shd w:fill="EAF0F8"/>
          </w:tcPr>
          <w:p>
            <w:r/>
            <w:r>
              <w:rPr>
                <w:b w:val="0"/>
                <w:sz w:val="18"/>
              </w:rPr>
              <w:t>completedAt minus startedAt.</w:t>
            </w:r>
          </w:p>
        </w:tc>
      </w:tr>
      <w:tr>
        <w:tc>
          <w:tcPr>
            <w:tcW w:type="dxa" w:w="3744"/>
            <w:vAlign w:val="center"/>
          </w:tcPr>
          <w:p>
            <w:r/>
            <w:r>
              <w:rPr>
                <w:b w:val="0"/>
                <w:sz w:val="18"/>
              </w:rPr>
              <w:t>Repeated instability</w:t>
            </w:r>
          </w:p>
        </w:tc>
        <w:tc>
          <w:tcPr>
            <w:tcW w:type="dxa" w:w="6336"/>
            <w:vAlign w:val="center"/>
          </w:tcPr>
          <w:p>
            <w:r/>
            <w:r>
              <w:rPr>
                <w:b w:val="0"/>
                <w:sz w:val="18"/>
              </w:rPr>
              <w:t>Attempt rows grouped by resourceId.</w:t>
            </w:r>
          </w:p>
        </w:tc>
      </w:tr>
      <w:tr>
        <w:tc>
          <w:tcPr>
            <w:tcW w:type="dxa" w:w="3744"/>
            <w:vAlign w:val="center"/>
            <w:shd w:fill="EAF0F8"/>
          </w:tcPr>
          <w:p>
            <w:r/>
            <w:r>
              <w:rPr>
                <w:b w:val="0"/>
                <w:sz w:val="18"/>
              </w:rPr>
              <w:t>Top policy denials</w:t>
            </w:r>
          </w:p>
        </w:tc>
        <w:tc>
          <w:tcPr>
            <w:tcW w:type="dxa" w:w="6336"/>
            <w:vAlign w:val="center"/>
            <w:shd w:fill="EAF0F8"/>
          </w:tcPr>
          <w:p>
            <w:r/>
            <w:r>
              <w:rPr>
                <w:b w:val="0"/>
                <w:sz w:val="18"/>
              </w:rPr>
              <w:t>reason grouped by count.</w:t>
            </w:r>
          </w:p>
        </w:tc>
      </w:tr>
    </w:tbl>
    <w:p>
      <w:pPr>
        <w:spacing w:after="0"/>
      </w:pPr>
    </w:p>
    <w:p>
      <w:pPr>
        <w:pStyle w:val="Heading1"/>
      </w:pPr>
      <w:r>
        <w:t>12. How to Extend the Repository Safely</w:t>
      </w:r>
    </w:p>
    <w:p>
      <w:pPr>
        <w:pStyle w:val="ListNumber"/>
        <w:spacing w:after="60"/>
      </w:pPr>
      <w:r>
        <w:t>Add a new action to the domain model rather than overloading restart behavior.</w:t>
      </w:r>
    </w:p>
    <w:p>
      <w:pPr>
        <w:pStyle w:val="ListNumber"/>
        <w:spacing w:after="60"/>
      </w:pPr>
      <w:r>
        <w:t>Implement the Azure operation behind a narrow service protocol and use a dedicated least-privilege custom role action.</w:t>
      </w:r>
    </w:p>
    <w:p>
      <w:pPr>
        <w:pStyle w:val="ListNumber"/>
        <w:spacing w:after="60"/>
      </w:pPr>
      <w:r>
        <w:t>Require an explicit per-resource action tag and alert-rule allowlist for the new path.</w:t>
      </w:r>
    </w:p>
    <w:p>
      <w:pPr>
        <w:pStyle w:val="ListNumber"/>
        <w:spacing w:after="60"/>
      </w:pPr>
      <w:r>
        <w:t>Define an action-specific validation strategy; successful SDK completion is not recovery proof.</w:t>
      </w:r>
    </w:p>
    <w:p>
      <w:pPr>
        <w:pStyle w:val="ListNumber"/>
        <w:spacing w:after="60"/>
      </w:pPr>
      <w:r>
        <w:t>Decide rollback and escalation semantics before enabling mutation.</w:t>
      </w:r>
    </w:p>
    <w:p>
      <w:pPr>
        <w:pStyle w:val="ListNumber"/>
        <w:spacing w:after="60"/>
      </w:pPr>
      <w:r>
        <w:t>Add parser, policy, orchestration, and failure tests with network-free fakes.</w:t>
      </w:r>
    </w:p>
    <w:p>
      <w:pPr>
        <w:pStyle w:val="ListNumber"/>
        <w:spacing w:after="60"/>
      </w:pPr>
      <w:r>
        <w:t>Deploy in dry-run, then sandbox, non-production, and separately approved production stages.</w:t>
      </w:r>
    </w:p>
    <w:p>
      <w:r>
        <w:t>High-risk actions such as failover, restore, delete, network modification, or database role changes should not reuse the restart approval boundary. They require separate workflows, roles, approval gates, rollback plans, and validation.</w:t>
      </w:r>
    </w:p>
    <w:p>
      <w:pPr>
        <w:pStyle w:val="Heading1"/>
      </w:pPr>
      <w:r>
        <w:t>13. Glossary</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2F5597"/>
          </w:tcPr>
          <w:p>
            <w:r/>
            <w:r>
              <w:rPr>
                <w:b/>
                <w:color w:val="FFFFFF"/>
                <w:sz w:val="18"/>
              </w:rPr>
              <w:t>Term</w:t>
            </w:r>
          </w:p>
        </w:tc>
        <w:tc>
          <w:tcPr>
            <w:tcW w:type="dxa" w:w="7200"/>
            <w:vAlign w:val="center"/>
            <w:shd w:fill="2F5597"/>
          </w:tcPr>
          <w:p>
            <w:r/>
            <w:r>
              <w:rPr>
                <w:b/>
                <w:color w:val="FFFFFF"/>
                <w:sz w:val="18"/>
              </w:rPr>
              <w:t>Meaning in this repository</w:t>
            </w:r>
          </w:p>
        </w:tc>
      </w:tr>
      <w:tr>
        <w:tc>
          <w:tcPr>
            <w:tcW w:type="dxa" w:w="2880"/>
            <w:vAlign w:val="center"/>
          </w:tcPr>
          <w:p>
            <w:r/>
            <w:r>
              <w:rPr>
                <w:b w:val="0"/>
                <w:sz w:val="18"/>
              </w:rPr>
              <w:t>Common alert schema</w:t>
            </w:r>
          </w:p>
        </w:tc>
        <w:tc>
          <w:tcPr>
            <w:tcW w:type="dxa" w:w="7200"/>
            <w:vAlign w:val="center"/>
          </w:tcPr>
          <w:p>
            <w:r/>
            <w:r>
              <w:rPr>
                <w:b w:val="0"/>
                <w:sz w:val="18"/>
              </w:rPr>
              <w:t>Azure Monitor’s standardized alert payload shape under data.essentials.</w:t>
            </w:r>
          </w:p>
        </w:tc>
      </w:tr>
      <w:tr>
        <w:tc>
          <w:tcPr>
            <w:tcW w:type="dxa" w:w="2880"/>
            <w:vAlign w:val="center"/>
            <w:shd w:fill="EAF0F8"/>
          </w:tcPr>
          <w:p>
            <w:r/>
            <w:r>
              <w:rPr>
                <w:b w:val="0"/>
                <w:sz w:val="18"/>
              </w:rPr>
              <w:t>Dry-run</w:t>
            </w:r>
          </w:p>
        </w:tc>
        <w:tc>
          <w:tcPr>
            <w:tcW w:type="dxa" w:w="7200"/>
            <w:vAlign w:val="center"/>
            <w:shd w:fill="EAF0F8"/>
          </w:tcPr>
          <w:p>
            <w:r/>
            <w:r>
              <w:rPr>
                <w:b w:val="0"/>
                <w:sz w:val="18"/>
              </w:rPr>
              <w:t>A policy-approved observation that records intent but makes no Azure change.</w:t>
            </w:r>
          </w:p>
        </w:tc>
      </w:tr>
      <w:tr>
        <w:tc>
          <w:tcPr>
            <w:tcW w:type="dxa" w:w="2880"/>
            <w:vAlign w:val="center"/>
          </w:tcPr>
          <w:p>
            <w:r/>
            <w:r>
              <w:rPr>
                <w:b w:val="0"/>
                <w:sz w:val="18"/>
              </w:rPr>
              <w:t>Cooldown</w:t>
            </w:r>
          </w:p>
        </w:tc>
        <w:tc>
          <w:tcPr>
            <w:tcW w:type="dxa" w:w="7200"/>
            <w:vAlign w:val="center"/>
          </w:tcPr>
          <w:p>
            <w:r/>
            <w:r>
              <w:rPr>
                <w:b w:val="0"/>
                <w:sz w:val="18"/>
              </w:rPr>
              <w:t>Rolling period in which attempts for one resource are counted.</w:t>
            </w:r>
          </w:p>
        </w:tc>
      </w:tr>
      <w:tr>
        <w:tc>
          <w:tcPr>
            <w:tcW w:type="dxa" w:w="2880"/>
            <w:vAlign w:val="center"/>
            <w:shd w:fill="EAF0F8"/>
          </w:tcPr>
          <w:p>
            <w:r/>
            <w:r>
              <w:rPr>
                <w:b w:val="0"/>
                <w:sz w:val="18"/>
              </w:rPr>
              <w:t>Deduplication</w:t>
            </w:r>
          </w:p>
        </w:tc>
        <w:tc>
          <w:tcPr>
            <w:tcW w:type="dxa" w:w="7200"/>
            <w:vAlign w:val="center"/>
            <w:shd w:fill="EAF0F8"/>
          </w:tcPr>
          <w:p>
            <w:r/>
            <w:r>
              <w:rPr>
                <w:b w:val="0"/>
                <w:sz w:val="18"/>
              </w:rPr>
              <w:t>Unique alert-ID reservation that prevents processing the same alert twice.</w:t>
            </w:r>
          </w:p>
        </w:tc>
      </w:tr>
      <w:tr>
        <w:tc>
          <w:tcPr>
            <w:tcW w:type="dxa" w:w="2880"/>
            <w:vAlign w:val="center"/>
          </w:tcPr>
          <w:p>
            <w:r/>
            <w:r>
              <w:rPr>
                <w:b w:val="0"/>
                <w:sz w:val="18"/>
              </w:rPr>
              <w:t>Fail-closed</w:t>
            </w:r>
          </w:p>
        </w:tc>
        <w:tc>
          <w:tcPr>
            <w:tcW w:type="dxa" w:w="7200"/>
            <w:vAlign w:val="center"/>
          </w:tcPr>
          <w:p>
            <w:r/>
            <w:r>
              <w:rPr>
                <w:b w:val="0"/>
                <w:sz w:val="18"/>
              </w:rPr>
              <w:t>Missing, malformed, or unapproved inputs result in no remediation.</w:t>
            </w:r>
          </w:p>
        </w:tc>
      </w:tr>
      <w:tr>
        <w:tc>
          <w:tcPr>
            <w:tcW w:type="dxa" w:w="2880"/>
            <w:vAlign w:val="center"/>
            <w:shd w:fill="EAF0F8"/>
          </w:tcPr>
          <w:p>
            <w:r/>
            <w:r>
              <w:rPr>
                <w:b w:val="0"/>
                <w:sz w:val="18"/>
              </w:rPr>
              <w:t>Managed identity</w:t>
            </w:r>
          </w:p>
        </w:tc>
        <w:tc>
          <w:tcPr>
            <w:tcW w:type="dxa" w:w="7200"/>
            <w:vAlign w:val="center"/>
            <w:shd w:fill="EAF0F8"/>
          </w:tcPr>
          <w:p>
            <w:r/>
            <w:r>
              <w:rPr>
                <w:b w:val="0"/>
                <w:sz w:val="18"/>
              </w:rPr>
              <w:t>Azure-provided service identity used without embedded credentials.</w:t>
            </w:r>
          </w:p>
        </w:tc>
      </w:tr>
      <w:tr>
        <w:tc>
          <w:tcPr>
            <w:tcW w:type="dxa" w:w="2880"/>
            <w:vAlign w:val="center"/>
          </w:tcPr>
          <w:p>
            <w:r/>
            <w:r>
              <w:rPr>
                <w:b w:val="0"/>
                <w:sz w:val="18"/>
              </w:rPr>
              <w:t>Validation</w:t>
            </w:r>
          </w:p>
        </w:tc>
        <w:tc>
          <w:tcPr>
            <w:tcW w:type="dxa" w:w="7200"/>
            <w:vAlign w:val="center"/>
          </w:tcPr>
          <w:p>
            <w:r/>
            <w:r>
              <w:rPr>
                <w:b w:val="0"/>
                <w:sz w:val="18"/>
              </w:rPr>
              <w:t>Independent post-action evidence that the service is healthy.</w:t>
            </w:r>
          </w:p>
        </w:tc>
      </w:tr>
      <w:tr>
        <w:tc>
          <w:tcPr>
            <w:tcW w:type="dxa" w:w="2880"/>
            <w:vAlign w:val="center"/>
            <w:shd w:fill="EAF0F8"/>
          </w:tcPr>
          <w:p>
            <w:r/>
            <w:r>
              <w:rPr>
                <w:b w:val="0"/>
                <w:sz w:val="18"/>
              </w:rPr>
              <w:t>Blast radius</w:t>
            </w:r>
          </w:p>
        </w:tc>
        <w:tc>
          <w:tcPr>
            <w:tcW w:type="dxa" w:w="7200"/>
            <w:vAlign w:val="center"/>
            <w:shd w:fill="EAF0F8"/>
          </w:tcPr>
          <w:p>
            <w:r/>
            <w:r>
              <w:rPr>
                <w:b w:val="0"/>
                <w:sz w:val="18"/>
              </w:rPr>
              <w:t>Maximum resources and operations that one invocation can affect; currently one App Service restart.</w:t>
            </w:r>
          </w:p>
        </w:tc>
      </w:tr>
    </w:tbl>
    <w:p>
      <w:pPr>
        <w:spacing w:after="0"/>
      </w:pPr>
    </w:p>
    <w:p>
      <w:pPr>
        <w:spacing w:before="320"/>
        <w:jc w:val="center"/>
      </w:pPr>
      <w:r>
        <w:rPr>
          <w:i/>
          <w:color w:val="646464"/>
        </w:rPr>
        <w:t>End of repository architecture and data flow guide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Azure Infrastructure Self-Healing Agent | Repository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288"/>
    </w:pPr>
    <w:rPr>
      <w:rFonts w:ascii="Cascadia Mono" w:hAnsi="Cascadia Mono" w:eastAsia="Cascadia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Infrastructure Self-Healing Agent - Repository Architecture and Data Flow</dc:title>
  <dc:subject>Folder-wise repository guide and runtime data flow</dc:subject>
  <dc:creator>Infrastructure Self-Healing Agent Project</dc:creator>
  <cp:keywords>Azure, self-healing, Azure Functions, architecture, data flow, managed identity</cp:keywords>
  <dc:description>generated by python-docx</dc:description>
  <cp:lastModifiedBy/>
  <cp:revision>1</cp:revision>
  <dcterms:created xsi:type="dcterms:W3CDTF">2013-12-23T23:15:00Z</dcterms:created>
  <dcterms:modified xsi:type="dcterms:W3CDTF">2013-12-23T23:15:00Z</dcterms:modified>
  <cp:category/>
</cp:coreProperties>
</file>