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0E7C66"/>
          <w:sz w:val="60"/>
          <w:szCs w:val="60"/>
        </w:rPr>
        <w:t xml:space="preserve">InmobiliariaVG</w:t>
      </w:r>
    </w:p>
    <w:p>
      <w:pPr>
        <w:spacing w:after="120"/>
        <w:jc w:val="center"/>
      </w:pPr>
      <w:r>
        <w:rPr>
          <w:b/>
          <w:bCs/>
          <w:color w:val="1A1A1A"/>
          <w:sz w:val="40"/>
          <w:szCs w:val="40"/>
        </w:rPr>
        <w:t xml:space="preserve">Sales-Agent CRM</w:t>
      </w:r>
    </w:p>
    <w:p>
      <w:pPr>
        <w:spacing w:after="400"/>
        <w:jc w:val="center"/>
      </w:pPr>
      <w:r>
        <w:rPr>
          <w:i/>
          <w:iCs/>
          <w:color w:val="555555"/>
          <w:sz w:val="26"/>
          <w:szCs w:val="26"/>
        </w:rPr>
        <w:t xml:space="preserve">Frontend Specification &amp; Implementation Guide</w:t>
      </w:r>
    </w:p>
    <w:p>
      <w:pPr>
        <w:spacing w:after="1400"/>
        <w:jc w:val="center"/>
      </w:pPr>
      <w:r>
        <w:rPr>
          <w:color w:val="555555"/>
          <w:sz w:val="20"/>
          <w:szCs w:val="20"/>
        </w:rPr>
        <w:t xml:space="preserve">Internal back-office for the sales team — leads, inventory, communication, reports &amp; handoff</w:t>
      </w:r>
    </w:p>
    <w:p>
      <w:pPr>
        <w:jc w:val="center"/>
      </w:pPr>
      <w:r>
        <w:rPr>
          <w:color w:val="555555"/>
          <w:sz w:val="20"/>
          <w:szCs w:val="20"/>
        </w:rPr>
        <w:t xml:space="preserve">Prepared for the frontend development team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Design Stance</w:t>
      </w:r>
    </w:p>
    <w:p>
      <w:pPr>
        <w:spacing w:after="120"/>
      </w:pPr>
      <w:r>
        <w:t xml:space="preserve">This document specifies the frontend of the sales-agent CRM — the internal back-office where the sales team manages leads, properties, communication, reports, and handoffs to specialists. It is the seller-side counterpart to the buyer-facing platform described in the main UX specification.</w:t>
      </w:r>
    </w:p>
    <w:p>
      <w:pPr>
        <w:spacing w:after="120"/>
      </w:pPr>
      <w:r>
        <w:t xml:space="preserve">Design stance — minimalist and traditional, on purpose. The buyer app is warm, immersive, and reassuring; the agent CRM is the opposite. Agents are power users who live in this tool all day, so the priorities are information density, speed, keyboard-friendliness, and familiarity. A conventional table-and-pipeline layout (a classic CRM feel) beats anything novel: no learning curve, fast scanning, high density. Delight lives on the buyer side; efficiency lives here.</w:t>
      </w:r>
    </w:p>
    <w:p>
      <w:pPr>
        <w:spacing w:after="120"/>
      </w:pPr>
      <w:r>
        <w:t xml:space="preserve">The CRM and the buyer platform share one data system — one source of truth, two faces. A property published in the CRM appears (with its adaptive viewer) in the buyer-facing map and ficha; a buyer who books a tour or locks a quote becomes a lead in the CRM with full context attached.</w:t>
      </w:r>
    </w:p>
    <w:p>
      <w:pPr>
        <w:pStyle w:val="Heading2"/>
      </w:pPr>
      <w:r>
        <w:t xml:space="preserve">1.1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Can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 own leads, communicate, schedule, publish/edit listings, view own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Everything an agent can, plus see all agents' pipelines and aggregated reports, reassign leads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management, roles &amp; permissions, system settings, data sources &amp; integrations</w:t>
            </w:r>
          </w:p>
        </w:tc>
      </w:tr>
    </w:tbl>
    <w:p>
      <w:r>
        <w:br w:type="page"/>
      </w:r>
    </w:p>
    <w:p>
      <w:pPr>
        <w:pStyle w:val="Heading1"/>
      </w:pPr>
      <w:r>
        <w:t xml:space="preserve">2. Modules &amp; Navigation</w:t>
      </w:r>
    </w:p>
    <w:p>
      <w:pPr>
        <w:spacing w:after="120"/>
      </w:pPr>
      <w:r>
        <w:t xml:space="preserve">A persistent left navigation rail (dark theme) exposes five modules. The main content area renders the active module. The structure is deliberately flat — at most two levels deep — so agents never get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000"/>
        <w:gridCol w:w="4060"/>
      </w:tblGrid>
      <w:tr>
        <w:trPr>
          <w:tblHeader/>
        </w:trPr>
        <w:tc>
          <w:tcPr>
            <w:tcW w:type="dxa" w:w="6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Primary screen</w:t>
            </w:r>
          </w:p>
        </w:tc>
        <w:tc>
          <w:tcPr>
            <w:tcW w:type="dxa" w:w="40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Kanban board by stage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home screen; drag leads between stages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detail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Two-pane: context + communication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 a single lead end to 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Table of listings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Publish, edit, and manage properties + media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KPI cards + funnel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 conversion, pipeline value, response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Handoffs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list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signed promises to finance/legal/migration specialists</w:t>
            </w:r>
          </w:p>
        </w:tc>
      </w:tr>
    </w:tbl>
    <w:p>
      <w:pPr>
        <w:pStyle w:val="Heading2"/>
      </w:pPr>
      <w:r>
        <w:t xml:space="preserve">2.1 Pipeline Stages</w:t>
      </w:r>
    </w:p>
    <w:p>
      <w:pPr>
        <w:spacing w:after="120"/>
      </w:pPr>
      <w:r>
        <w:t xml:space="preserve">The pipeline mirrors the buyer journey so the two sides stay aligned: New → Contacted → Toured → Promise → (handoff to specialists). Cards are draggable between stages; a green left-border marks a lead that arrived from the buyer journey with context attached, versus a manually created lead.</w:t>
      </w:r>
    </w:p>
    <w:p>
      <w:r>
        <w:br w:type="page"/>
      </w:r>
    </w:p>
    <w:p>
      <w:pPr>
        <w:pStyle w:val="Heading1"/>
      </w:pPr>
      <w:r>
        <w:t xml:space="preserve">3. Screen Specifications</w:t>
      </w:r>
    </w:p>
    <w:p>
      <w:pPr>
        <w:pStyle w:val="Heading2"/>
      </w:pPr>
      <w:r>
        <w:t xml:space="preserve">3.1 Pipeline (Agent Home)</w:t>
      </w:r>
    </w:p>
    <w:p>
      <w:pPr>
        <w:spacing w:after="120"/>
      </w:pPr>
      <w:r>
        <w:t xml:space="preserve">A horizontal kanban with one column per stage and a count per column. A top bar holds global search and a summary strip (new this month, closing, pipeline value). Each lead card shows the buyer name, a context badge (e.g., “Booked tour”, “3 favorites”, “Quote locked”), the property of interest, origin city, and time since last activity. A “New manual lead” action sits at the bottom of the nav.</w:t>
      </w:r>
    </w:p>
    <w:p>
      <w:pPr>
        <w:pStyle w:val="Heading2"/>
      </w:pPr>
      <w:r>
        <w:t xml:space="preserve">3.2 Lead Detail (Context + Communication, equal weight)</w:t>
      </w:r>
    </w:p>
    <w:p>
      <w:pPr>
        <w:spacing w:after="120"/>
      </w:pPr>
      <w:r>
        <w:t xml:space="preserve">Two panes of equal importance. The left pane is the context column: buyer identity, the auto-attached context (property of interest, locked quote and terms, lifestyle filters, lifestyle-match score), saved favorites, current stage with a quick changer, quick actions (start video tour, schedule call, send quote PDF, hand off to legal), a unified timeline, and private notes. The right pane is the communication panel: tabbed Messages / Calls / Documents / Tour recordings; a chat thread (also bridged to WhatsApp); scheduled-event cards inline in the thread; quick-reply (canned) responses; and a composer with attachments. Everything the agent does writes back to the shared timeline — one source of truth.</w:t>
      </w:r>
    </w:p>
    <w:p>
      <w:pPr>
        <w:pStyle w:val="Heading2"/>
      </w:pPr>
      <w:r>
        <w:t xml:space="preserve">3.3 Inventory</w:t>
      </w:r>
    </w:p>
    <w:p>
      <w:pPr>
        <w:spacing w:after="120"/>
      </w:pPr>
      <w:r>
        <w:t xml:space="preserve">A searchable, filterable table of listings (All / Published / Draft / Pre-sale). Columns: property + location, type, price, media (with an explicit indicator of whether 3D exists — a conversion driver), status, lead count, and row actions (edit, manage 3D/media, publish). A “Publish new property” action opens the listing editor (basic info, price, lifestyle tags, and media upload for 3D/360/photos/video). Publishing is what surfaces a property in the buyer-facing map and ficha with its adaptive viewer.</w:t>
      </w:r>
    </w:p>
    <w:p>
      <w:pPr>
        <w:pStyle w:val="Heading2"/>
      </w:pPr>
      <w:r>
        <w:t xml:space="preserve">3.4 Reports</w:t>
      </w:r>
    </w:p>
    <w:p>
      <w:pPr>
        <w:spacing w:after="120"/>
      </w:pPr>
      <w:r>
        <w:t xml:space="preserve">A period selector drives four KPI cards (new leads, conversion-to-tour, pipeline value, average response time against a sub-1-hour target), a pipeline funnel visualization, and a most-viewed-listings list. Agents see their own data; managers see the same reports aggregated across all agents.</w:t>
      </w:r>
    </w:p>
    <w:p>
      <w:pPr>
        <w:pStyle w:val="Heading2"/>
      </w:pPr>
      <w:r>
        <w:t xml:space="preserve">3.5 Handoffs</w:t>
      </w:r>
    </w:p>
    <w:p>
      <w:pPr>
        <w:spacing w:after="120"/>
      </w:pPr>
      <w:r>
        <w:t xml:space="preserve">When a promise is signed, a lead becomes a “deal” and moves to the handoff queue, where it is passed to finance, legal/visa, and advisory specialists. The deal carries all context forward, and the specialists work it in the same concierge dashboard described in the main spec (Phase III). The CRM and concierge are the same system viewed by different staff roles.</w:t>
      </w:r>
    </w:p>
    <w:p>
      <w:r>
        <w:br w:type="page"/>
      </w:r>
    </w:p>
    <w:p>
      <w:pPr>
        <w:pStyle w:val="Heading1"/>
      </w:pPr>
      <w:r>
        <w:t xml:space="preserve">4. Frontend Architecture</w:t>
      </w:r>
    </w:p>
    <w:p>
      <w:pPr>
        <w:pStyle w:val="Heading2"/>
      </w:pPr>
      <w:r>
        <w:t xml:space="preserve">4.1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Concern</w:t>
            </w:r>
          </w:p>
        </w:tc>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Recommendation</w:t>
            </w:r>
          </w:p>
        </w:tc>
        <w:tc>
          <w:tcPr>
            <w:tcW w:type="dxa" w:w="46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Why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 TypeScript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 safety for a data-heavy back-office; large talent pool; shares language with the buyer app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Build/meta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 (SPA) or Next.js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 for a pure internal SPA; Next.js if SSR/SEO or shared infra with the public site is desired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Router (or Next App Router)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Flat, predictable routes per module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TanStack Query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Caching, background refetch, optimistic updates for drag-and-drop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UI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Zustand or Redux Toolkit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Lightweight global state (filters, selected lead, auth)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Components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Headless UI + Tailwind, or MUI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Headless+Tailwind for full control; MUI for speed with built-in data tables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TanStack Table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Sorting, filtering, virtualization for large inventories/lead lists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Kanban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dnd-kit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Accessible drag-and-drop for the pipeline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Recharts or Chart.js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 funnel and KPI trends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WebSocket / Pusher / Ably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chat, new-lead notifications, presence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Hook Form + Zod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Listing editor and lead forms with schema validation</w:t>
            </w:r>
          </w:p>
        </w:tc>
      </w:tr>
    </w:tbl>
    <w:p>
      <w:pPr>
        <w:spacing w:after="120"/>
      </w:pPr>
      <w:r>
        <w:t xml:space="preserve">Note: this is a recommendation, not a mandate. The guiding constraints are TypeScript end-to-end, a robust data-table and kanban library, and a realtime channel for chat/notifications.</w:t>
      </w:r>
    </w:p>
    <w:p>
      <w:pPr>
        <w:pStyle w:val="Heading2"/>
      </w:pPr>
      <w:r>
        <w:t xml:space="preserve">4.2 Component Structure</w:t>
      </w:r>
    </w:p>
    <w:p>
      <w:pPr>
        <w:spacing w:after="120"/>
      </w:pPr>
      <w:r>
        <w:t xml:space="preserve">Organize by feature module, with a shared component and hook library. A suggested tree:</w:t>
      </w:r>
    </w:p>
    <w:p>
      <w:pPr>
        <w:pStyle w:val="Heading2"/>
      </w:pPr>
      <w:r>
        <w:t xml:space="preserve">4.3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Route</w:t>
            </w:r>
          </w:p>
        </w:tc>
        <w:tc>
          <w:tcPr>
            <w:tcW w:type="dxa" w:w="63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Screen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Kanban board (default landing)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detail (context + comms)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Listing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/inventory/:id/edit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Listing editor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/handoffs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Deal queue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users, roles, integrations</w:t>
            </w:r>
          </w:p>
        </w:tc>
      </w:tr>
    </w:tbl>
    <w:p>
      <w:r>
        <w:br w:type="page"/>
      </w:r>
    </w:p>
    <w:p>
      <w:pPr>
        <w:pStyle w:val="Heading1"/>
      </w:pPr>
      <w:r>
        <w:t xml:space="preserve">5. Core Data Model (Frontend Types)</w:t>
      </w:r>
    </w:p>
    <w:p>
      <w:pPr>
        <w:spacing w:after="120"/>
      </w:pPr>
      <w:r>
        <w:t xml:space="preserve">The frontend types should mirror the backend contract. Key entities and their essential fields:</w:t>
      </w:r>
    </w:p>
    <w:p>
      <w:pPr>
        <w:pStyle w:val="Heading3"/>
      </w:pPr>
      <w:r>
        <w:t xml:space="preserve">5.1 Lead</w:t>
      </w:r>
    </w:p>
    <w:p>
      <w:pPr>
        <w:pStyle w:val="Heading3"/>
      </w:pPr>
      <w:r>
        <w:t xml:space="preserve">5.2 Listing</w:t>
      </w:r>
    </w:p>
    <w:p>
      <w:pPr>
        <w:pStyle w:val="Heading3"/>
      </w:pPr>
      <w:r>
        <w:t xml:space="preserve">5.3 Deal &amp; TimelineEvent</w:t>
      </w:r>
    </w:p>
    <w:p>
      <w:pPr>
        <w:spacing w:after="120"/>
      </w:pPr>
      <w:r>
        <w:t xml:space="preserve">Currency note: prices are stored and transmitted in COP; the frontend formats to the viewing currency using the same real-time exchange-rate service defined for the buyer-side simulator. Never store converted amounts.</w:t>
      </w:r>
    </w:p>
    <w:p>
      <w:r>
        <w:br w:type="page"/>
      </w:r>
    </w:p>
    <w:p>
      <w:pPr>
        <w:pStyle w:val="Heading1"/>
      </w:pPr>
      <w:r>
        <w:t xml:space="preserve">6. State, Realtime &amp; Integration</w:t>
      </w:r>
    </w:p>
    <w:p>
      <w:pPr>
        <w:pStyle w:val="Heading2"/>
      </w:pPr>
      <w:r>
        <w:t xml:space="preserve">6.1 State Strategy</w:t>
      </w:r>
    </w:p>
    <w:p>
      <w:pPr>
        <w:pStyle w:val="ListParagraph"/>
        <w:numPr>
          <w:ilvl w:val="0"/>
          <w:numId w:val="2"/>
        </w:numPr>
        <w:spacing w:after="60"/>
      </w:pPr>
      <w:r>
        <w:rPr>
          <w:b/>
          <w:bCs/>
        </w:rPr>
        <w:t xml:space="preserve">Server state via TanStack Query: </w:t>
      </w:r>
      <w:r>
        <w:t xml:space="preserve">leads, listings, reports are fetched and cached; mutations (move stage, add note, publish) use optimistic updates so the UI feels instant.</w:t>
      </w:r>
    </w:p>
    <w:p>
      <w:pPr>
        <w:pStyle w:val="ListParagraph"/>
        <w:numPr>
          <w:ilvl w:val="0"/>
          <w:numId w:val="2"/>
        </w:numPr>
        <w:spacing w:after="60"/>
      </w:pPr>
      <w:r>
        <w:rPr>
          <w:b/>
          <w:bCs/>
        </w:rPr>
        <w:t xml:space="preserve">UI state via a lightweight store: </w:t>
      </w:r>
      <w:r>
        <w:t xml:space="preserve">active filters, selected lead, auth/session, unread counts.</w:t>
      </w:r>
    </w:p>
    <w:p>
      <w:pPr>
        <w:pStyle w:val="ListParagraph"/>
        <w:numPr>
          <w:ilvl w:val="0"/>
          <w:numId w:val="2"/>
        </w:numPr>
        <w:spacing w:after="60"/>
      </w:pPr>
      <w:r>
        <w:rPr>
          <w:b/>
          <w:bCs/>
        </w:rPr>
        <w:t xml:space="preserve">Derived data computed, not stored: </w:t>
      </w:r>
      <w:r>
        <w:t xml:space="preserve">currency conversions, funnel counts, time-since-activity.</w:t>
      </w:r>
    </w:p>
    <w:p>
      <w:pPr>
        <w:pStyle w:val="Heading2"/>
      </w:pPr>
      <w:r>
        <w:t xml:space="preserve">6.2 Realtime</w:t>
      </w:r>
    </w:p>
    <w:p>
      <w:pPr>
        <w:spacing w:after="120"/>
      </w:pPr>
      <w:r>
        <w:t xml:space="preserve">A WebSocket (or hosted Pusher/Ably) channel powers: incoming chat messages, new-lead notifications (a buyer just booked a tour), presence (which buyers are online), and live timeline updates so two staff viewing the same lead stay in sync.</w:t>
      </w:r>
    </w:p>
    <w:p>
      <w:pPr>
        <w:pStyle w:val="Heading2"/>
      </w:pPr>
      <w:r>
        <w:t xml:space="preserve">6.3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Integration</w:t>
            </w:r>
          </w:p>
        </w:tc>
        <w:tc>
          <w:tcPr>
            <w:tcW w:type="dxa" w:w="22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Used by</w:t>
            </w:r>
          </w:p>
        </w:tc>
        <w:tc>
          <w:tcPr>
            <w:tcW w:type="dxa" w:w="49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Buyer platform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Leads, inventory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Shared backend; lead context flows in, published listings flow 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WhatsApp Business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Comms pane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 bridges to WhatsApp; messages unify in the thread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Workspace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 Meet, Gmail, Drive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Productivity layer — see Section 8 for full 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Exchange-rate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Currency formatting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real-time FX source as the buyer simulator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E-signature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Handoffs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Promise/contract signing status surfaces on the deal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Scheduling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Tour/call events sync to agent and buyer calendars</w:t>
            </w:r>
          </w:p>
        </w:tc>
      </w:tr>
    </w:tbl>
    <w:p>
      <w:r>
        <w:br w:type="page"/>
      </w:r>
    </w:p>
    <w:p>
      <w:pPr>
        <w:pStyle w:val="Heading1"/>
      </w:pPr>
      <w:r>
        <w:t xml:space="preserve">7. Frontend UX, Accessibility &amp; Quality</w:t>
      </w:r>
    </w:p>
    <w:p>
      <w:pPr>
        <w:pStyle w:val="Heading2"/>
      </w:pPr>
      <w:r>
        <w:t xml:space="preserve">7.1 Back-Office UX Rules</w:t>
      </w:r>
    </w:p>
    <w:p>
      <w:pPr>
        <w:pStyle w:val="ListParagraph"/>
        <w:numPr>
          <w:ilvl w:val="0"/>
          <w:numId w:val="2"/>
        </w:numPr>
        <w:spacing w:after="60"/>
      </w:pPr>
      <w:r>
        <w:t xml:space="preserve">High information density; compact rows; minimal whitespace compared to the buyer app.</w:t>
      </w:r>
    </w:p>
    <w:p>
      <w:pPr>
        <w:pStyle w:val="ListParagraph"/>
        <w:numPr>
          <w:ilvl w:val="0"/>
          <w:numId w:val="2"/>
        </w:numPr>
        <w:spacing w:after="60"/>
      </w:pPr>
      <w:r>
        <w:t xml:space="preserve">Keyboard-first: shortcuts for stage moves, search focus, and composing messages; full tab-order support.</w:t>
      </w:r>
    </w:p>
    <w:p>
      <w:pPr>
        <w:pStyle w:val="ListParagraph"/>
        <w:numPr>
          <w:ilvl w:val="0"/>
          <w:numId w:val="2"/>
        </w:numPr>
        <w:spacing w:after="60"/>
      </w:pPr>
      <w:r>
        <w:t xml:space="preserve">Fast feedback: optimistic updates, skeleton loaders, toast confirmations.</w:t>
      </w:r>
    </w:p>
    <w:p>
      <w:pPr>
        <w:pStyle w:val="ListParagraph"/>
        <w:numPr>
          <w:ilvl w:val="0"/>
          <w:numId w:val="2"/>
        </w:numPr>
        <w:spacing w:after="60"/>
      </w:pPr>
      <w:r>
        <w:t xml:space="preserve">Bulk actions on the lead and inventory tables (multi-select, reassign, change status).</w:t>
      </w:r>
    </w:p>
    <w:p>
      <w:pPr>
        <w:pStyle w:val="ListParagraph"/>
        <w:numPr>
          <w:ilvl w:val="0"/>
          <w:numId w:val="2"/>
        </w:numPr>
        <w:spacing w:after="60"/>
      </w:pPr>
      <w:r>
        <w:t xml:space="preserve">Persistent filters and saved views per agent.</w:t>
      </w:r>
    </w:p>
    <w:p>
      <w:pPr>
        <w:pStyle w:val="Heading2"/>
      </w:pPr>
      <w:r>
        <w:t xml:space="preserve">7.2 Accessibility</w:t>
      </w:r>
    </w:p>
    <w:p>
      <w:pPr>
        <w:spacing w:after="120"/>
      </w:pPr>
      <w:r>
        <w:t xml:space="preserve">Even an internal tool follows WCAG AA: sufficient contrast, focus indicators, ARIA roles on the kanban and tables, and accessible drag-and-drop (dnd-kit provides keyboard sensors). The staff UI is in English to match the brand and the team.</w:t>
      </w:r>
    </w:p>
    <w:p>
      <w:pPr>
        <w:pStyle w:val="Heading2"/>
      </w:pPr>
      <w:r>
        <w:t xml:space="preserve">7.3 Testing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Layer</w:t>
            </w:r>
          </w:p>
        </w:tc>
        <w:tc>
          <w:tcPr>
            <w:tcW w:type="dxa" w:w="75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Vitest/Jest for hooks, formatters, permission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Component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Testing Library for screens and interactions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E2E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Playwright for critical flows: lead intake → stage move → message → handoff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Visual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Storybook + visual regression for the shared component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Strict TypeScript; shared types package with the backend contract</w:t>
            </w:r>
          </w:p>
        </w:tc>
      </w:tr>
    </w:tbl>
    <w:p>
      <w:pPr>
        <w:pStyle w:val="Heading2"/>
      </w:pPr>
      <w:r>
        <w:t xml:space="preserve">7.4 Build Order (suggested)</w:t>
      </w:r>
    </w:p>
    <w:p>
      <w:pPr>
        <w:pStyle w:val="ListParagraph"/>
        <w:numPr>
          <w:ilvl w:val="0"/>
          <w:numId w:val="2"/>
        </w:numPr>
        <w:spacing w:after="60"/>
      </w:pPr>
      <w:r>
        <w:t xml:space="preserve">Phase 1: layout shell, auth, Pipeline (read-only), Lead detail context pane.</w:t>
      </w:r>
    </w:p>
    <w:p>
      <w:pPr>
        <w:pStyle w:val="ListParagraph"/>
        <w:numPr>
          <w:ilvl w:val="0"/>
          <w:numId w:val="2"/>
        </w:numPr>
        <w:spacing w:after="60"/>
      </w:pPr>
      <w:r>
        <w:t xml:space="preserve">Phase 2: drag-and-drop stages, communication pane + realtime chat, notes/timeline.</w:t>
      </w:r>
    </w:p>
    <w:p>
      <w:pPr>
        <w:pStyle w:val="ListParagraph"/>
        <w:numPr>
          <w:ilvl w:val="0"/>
          <w:numId w:val="2"/>
        </w:numPr>
        <w:spacing w:after="60"/>
      </w:pPr>
      <w:r>
        <w:t xml:space="preserve">Phase 3: Inventory table + listing editor + media upload.</w:t>
      </w:r>
    </w:p>
    <w:p>
      <w:pPr>
        <w:pStyle w:val="ListParagraph"/>
        <w:numPr>
          <w:ilvl w:val="0"/>
          <w:numId w:val="2"/>
        </w:numPr>
        <w:spacing w:after="60"/>
      </w:pPr>
      <w:r>
        <w:t xml:space="preserve">Phase 4: Reports, Handoffs, bulk actions, manager/admin roles.</w:t>
      </w:r>
    </w:p>
    <w:p>
      <w:pPr>
        <w:spacing w:after="120"/>
      </w:pPr>
      <w:r>
        <w:t xml:space="preserve">This sequence delivers a usable lead-management tool first (the agent's daily core), then layers inventory, analytics, and the specialist handoff on top.</w:t>
      </w:r>
    </w:p>
    <w:p>
      <w:r>
        <w:br w:type="page"/>
      </w:r>
    </w:p>
    <w:p>
      <w:pPr>
        <w:pStyle w:val="Heading1"/>
      </w:pPr>
      <w:r>
        <w:t xml:space="preserve">8. Google Workspace Integration</w:t>
      </w:r>
    </w:p>
    <w:p>
      <w:pPr>
        <w:spacing w:after="120"/>
      </w:pPr>
      <w:r>
        <w:t xml:space="preserve">Google Workspace is the productivity layer of the CRM. Rather than building calendar, video, email, and file storage from scratch, the CRM orchestrates the Workspace tools staff already know — and logs everything back to the lead timeline so the CRM remains the single source of truth. Staff sign in with their company Google account (OAuth), and the CRM acts on their behalf with scopes granted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Used for</w:t>
            </w:r>
          </w:p>
        </w:tc>
        <w:tc>
          <w:tcPr>
            <w:tcW w:type="dxa" w:w="54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Behavior in the CRM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Calendar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Tour &amp; call scheduling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Books in the buyer's timezone; two-way sync so events appear on the agent's calendar; availability shown when scheduling from lead 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video tours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Meet link is auto-created on a scheduled tour event; recordings are saved to the lead's Drive folder; join from the CRM or the calendar invite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Prototype/template emails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Quote, welcome, and visa-info templates sent from the agent's address; replies logged back to the lead timeline; contacts synced from the CRM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Per-case document storage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folder per case holds contracts, IDs, quotes, and tour recordings; shared with the right specialists per role; linked from lead detail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People (Contacts)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Contact sync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Buyer contacts kept in sync between the CRM and Gmail</w:t>
            </w:r>
          </w:p>
        </w:tc>
      </w:tr>
    </w:tbl>
    <w:p>
      <w:pPr>
        <w:pStyle w:val="Heading2"/>
      </w:pPr>
      <w:r>
        <w:t xml:space="preserve">8.1 Drive Folder Convention (per case)</w:t>
      </w:r>
    </w:p>
    <w:p>
      <w:pPr>
        <w:spacing w:after="120"/>
      </w:pPr>
      <w:r>
        <w:t xml:space="preserve">Each buyer/deal gets a structured folder so every case has a tidy, shareable home for documents — reassuring for a cautious retiree and easy for staff to navigate:</w:t>
      </w:r>
    </w:p>
    <w:p>
      <w:pPr>
        <w:pStyle w:val="Heading2"/>
      </w:pPr>
      <w:r>
        <w:t xml:space="preserve">8.2 Auth, Scopes &amp; Frontend Notes</w:t>
      </w:r>
    </w:p>
    <w:p>
      <w:pPr>
        <w:pStyle w:val="ListParagraph"/>
        <w:numPr>
          <w:ilvl w:val="0"/>
          <w:numId w:val="2"/>
        </w:numPr>
        <w:spacing w:after="60"/>
      </w:pPr>
      <w:r>
        <w:rPr>
          <w:b/>
          <w:bCs/>
        </w:rPr>
        <w:t xml:space="preserve">OAuth 2.0 with Workspace: </w:t>
      </w:r>
      <w:r>
        <w:t xml:space="preserve">the frontend initiates Google sign-in; tokens are handled by the backend, never exposed in the client.</w:t>
      </w:r>
    </w:p>
    <w:p>
      <w:pPr>
        <w:pStyle w:val="ListParagraph"/>
        <w:numPr>
          <w:ilvl w:val="0"/>
          <w:numId w:val="2"/>
        </w:numPr>
        <w:spacing w:after="60"/>
      </w:pPr>
      <w:r>
        <w:rPr>
          <w:b/>
          <w:bCs/>
        </w:rPr>
        <w:t xml:space="preserve">APIs: </w:t>
      </w:r>
      <w:r>
        <w:t xml:space="preserve">Google Calendar (events + Meet conferencing), Gmail (send/template + thread sync), Drive (folder creation + sharing), People (contacts).</w:t>
      </w:r>
    </w:p>
    <w:p>
      <w:pPr>
        <w:pStyle w:val="ListParagraph"/>
        <w:numPr>
          <w:ilvl w:val="0"/>
          <w:numId w:val="2"/>
        </w:numPr>
        <w:spacing w:after="60"/>
      </w:pPr>
      <w:r>
        <w:rPr>
          <w:b/>
          <w:bCs/>
        </w:rPr>
        <w:t xml:space="preserve">Scope by role: </w:t>
      </w:r>
      <w:r>
        <w:t xml:space="preserve">the OAuth scopes and Drive folder sharing follow the role matrix in Section 9 — e.g., a specialist is added only to the case folders for deals assigned to them.</w:t>
      </w:r>
    </w:p>
    <w:p>
      <w:pPr>
        <w:pStyle w:val="ListParagraph"/>
        <w:numPr>
          <w:ilvl w:val="0"/>
          <w:numId w:val="2"/>
        </w:numPr>
        <w:spacing w:after="60"/>
      </w:pPr>
      <w:r>
        <w:rPr>
          <w:b/>
          <w:bCs/>
        </w:rPr>
        <w:t xml:space="preserve">Graceful degradation: </w:t>
      </w:r>
      <w:r>
        <w:t xml:space="preserve">if a Workspace call fails, the CRM still records the intent on the timeline and flags the sync issue, rather than blocking the agent.</w:t>
      </w:r>
    </w:p>
    <w:p>
      <w:r>
        <w:br w:type="page"/>
      </w:r>
    </w:p>
    <w:p>
      <w:pPr>
        <w:pStyle w:val="Heading1"/>
      </w:pPr>
      <w:r>
        <w:t xml:space="preserve">9. Roles, Permissions, Views &amp; Access</w:t>
      </w:r>
    </w:p>
    <w:p>
      <w:pPr>
        <w:spacing w:after="120"/>
      </w:pPr>
      <w:r>
        <w:t xml:space="preserve">The ecosystem has five roles. Access follows least privilege: each role sees only what its job requires, scope is enforced server-side by the API (hiding UI is never treated as security), and Google Workspace sharing mirrors the same matrix. Every access and change is recorded in an audit log — essential for a high-trust, cross-border, money-handling business.</w:t>
      </w:r>
    </w:p>
    <w:p>
      <w:pPr>
        <w:pStyle w:val="Heading2"/>
      </w:pPr>
      <w:r>
        <w:t xml:space="preserve">9.1 Role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Who they are</w:t>
            </w:r>
          </w:p>
        </w:tc>
        <w:tc>
          <w:tcPr>
            <w:tcW w:type="dxa" w:w="48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Primary views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retiree customer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 site, immersive ficha, their own case dashboard &amp; documents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 representative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(own leads), lead detail + comms, inventory, own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Specialist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Finance / legal / migration expert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Assigned deals only; their own track of the concierge dashboard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Sales team lead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agents' pipelines, team reports, reassignment, inventory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IT / 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roles, integrations, system settings</w:t>
            </w:r>
          </w:p>
        </w:tc>
      </w:tr>
    </w:tbl>
    <w:p>
      <w:pPr>
        <w:pStyle w:val="Heading2"/>
      </w:pPr>
      <w:r>
        <w:t xml:space="preserve">9.2 Permission Matrix</w:t>
      </w:r>
    </w:p>
    <w:p>
      <w:pPr>
        <w:spacing w:after="120"/>
      </w:pPr>
      <w:r>
        <w:t xml:space="preserve">Scope keys: ✓ = full access · Own / Assigned / Team / All = the data scope visible · Read = view-only · — = not applicable · ✗ = no access.</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160"/>
        <w:gridCol w:w="1100"/>
        <w:gridCol w:w="1100"/>
        <w:gridCol w:w="1300"/>
        <w:gridCol w:w="1100"/>
        <w:gridCol w:w="1080"/>
      </w:tblGrid>
      <w:tr>
        <w:trPr>
          <w:tblHeader/>
        </w:trPr>
        <w:tc>
          <w:tcPr>
            <w:tcW w:type="dxa" w:w="316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Capability / Access</w:t>
            </w:r>
          </w:p>
        </w:tc>
        <w:tc>
          <w:tcPr>
            <w:tcW w:type="dxa" w:w="11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Buyer</w:t>
            </w:r>
          </w:p>
        </w:tc>
        <w:tc>
          <w:tcPr>
            <w:tcW w:type="dxa" w:w="11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Agent</w:t>
            </w:r>
          </w:p>
        </w:tc>
        <w:tc>
          <w:tcPr>
            <w:tcW w:type="dxa" w:w="13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Specialist</w:t>
            </w:r>
          </w:p>
        </w:tc>
        <w:tc>
          <w:tcPr>
            <w:tcW w:type="dxa" w:w="110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Manager</w:t>
            </w:r>
          </w:p>
        </w:tc>
        <w:tc>
          <w:tcPr>
            <w:tcW w:type="dxa" w:w="1080"/>
            <w:tcBorders>
              <w:top w:val="single" w:color="CCCCCC" w:sz="1"/>
              <w:left w:val="single" w:color="CCCCCC" w:sz="1"/>
              <w:bottom w:val="single" w:color="CCCCCC" w:sz="1"/>
              <w:right w:val="single" w:color="CCCCCC" w:sz="1"/>
            </w:tcBorders>
            <w:shd w:fill="0E7C66" w:val="clear"/>
            <w:tcMar>
              <w:top w:type="dxa" w:w="80"/>
              <w:left w:type="dxa" w:w="120"/>
              <w:bottom w:type="dxa" w:w="80"/>
              <w:right w:type="dxa" w:w="120"/>
            </w:tcMar>
          </w:tcPr>
          <w:p>
            <w:r>
              <w:rPr>
                <w:b/>
                <w:bCs/>
                <w:color w:val="FFFFFF"/>
                <w:sz w:val="20"/>
                <w:szCs w:val="20"/>
              </w:rPr>
              <w:t xml:space="preserve">Admin</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Browse properties / immersive ficha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favorites, quote, sign promise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own case dashboard &amp; documents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&amp; leads inbox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detail + communication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Inventory: publish / edit listings &amp; 3D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Concierge dashboard (finance/legal/visa)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 track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Handoff a deal to specialists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Reports &amp; metrics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Drive case folders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 (shared)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 leads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Reassign leads / manage team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roles, integrations, settings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r>
    </w:tbl>
    <w:p>
      <w:pPr>
        <w:pStyle w:val="Heading2"/>
      </w:pPr>
      <w:r>
        <w:t xml:space="preserve">9.3 Access Principles</w:t>
      </w:r>
    </w:p>
    <w:p>
      <w:pPr>
        <w:pStyle w:val="ListParagraph"/>
        <w:numPr>
          <w:ilvl w:val="0"/>
          <w:numId w:val="2"/>
        </w:numPr>
        <w:spacing w:after="60"/>
      </w:pPr>
      <w:r>
        <w:rPr>
          <w:b/>
          <w:bCs/>
        </w:rPr>
        <w:t xml:space="preserve">Least privilege: </w:t>
      </w:r>
      <w:r>
        <w:t xml:space="preserve">agents see only their own leads; specialists only assigned deals.</w:t>
      </w:r>
    </w:p>
    <w:p>
      <w:pPr>
        <w:pStyle w:val="ListParagraph"/>
        <w:numPr>
          <w:ilvl w:val="0"/>
          <w:numId w:val="2"/>
        </w:numPr>
        <w:spacing w:after="60"/>
      </w:pPr>
      <w:r>
        <w:rPr>
          <w:b/>
          <w:bCs/>
        </w:rPr>
        <w:t xml:space="preserve">Scoped data, server-enforced: </w:t>
      </w:r>
      <w:r>
        <w:t xml:space="preserve">the API filters by role; the frontend hides controls for clarity, not for security.</w:t>
      </w:r>
    </w:p>
    <w:p>
      <w:pPr>
        <w:pStyle w:val="ListParagraph"/>
        <w:numPr>
          <w:ilvl w:val="0"/>
          <w:numId w:val="2"/>
        </w:numPr>
        <w:spacing w:after="60"/>
      </w:pPr>
      <w:r>
        <w:rPr>
          <w:b/>
          <w:bCs/>
        </w:rPr>
        <w:t xml:space="preserve">Workspace mirrors the role: </w:t>
      </w:r>
      <w:r>
        <w:t xml:space="preserve">OAuth scopes and Drive folder sharing follow this matrix exactly.</w:t>
      </w:r>
    </w:p>
    <w:p>
      <w:pPr>
        <w:pStyle w:val="ListParagraph"/>
        <w:numPr>
          <w:ilvl w:val="0"/>
          <w:numId w:val="2"/>
        </w:numPr>
        <w:spacing w:after="60"/>
      </w:pPr>
      <w:r>
        <w:rPr>
          <w:b/>
          <w:bCs/>
        </w:rPr>
        <w:t xml:space="preserve">Sensitive documents (IDs, financials): </w:t>
      </w:r>
      <w:r>
        <w:t xml:space="preserve">visible only to the relevant specialist plus manager, supporting compliance and data-protection duties.</w:t>
      </w:r>
    </w:p>
    <w:p>
      <w:pPr>
        <w:pStyle w:val="ListParagraph"/>
        <w:numPr>
          <w:ilvl w:val="0"/>
          <w:numId w:val="2"/>
        </w:numPr>
        <w:spacing w:after="60"/>
      </w:pPr>
      <w:r>
        <w:rPr>
          <w:b/>
          <w:bCs/>
        </w:rPr>
        <w:t xml:space="preserve">Audit log: </w:t>
      </w:r>
      <w:r>
        <w:t xml:space="preserve">records who accessed or changed what, for accountability across the cross-border transaction.</w:t>
      </w:r>
    </w:p>
    <w:p>
      <w:pPr>
        <w:pStyle w:val="Heading2"/>
      </w:pPr>
      <w:r>
        <w:t xml:space="preserve">9.4 Frontend Implementation of Roles</w:t>
      </w:r>
    </w:p>
    <w:p>
      <w:pPr>
        <w:pStyle w:val="ListParagraph"/>
        <w:numPr>
          <w:ilvl w:val="0"/>
          <w:numId w:val="2"/>
        </w:numPr>
        <w:spacing w:after="60"/>
      </w:pPr>
      <w:r>
        <w:rPr>
          <w:b/>
          <w:bCs/>
        </w:rPr>
        <w:t xml:space="preserve">Permission helper: </w:t>
      </w:r>
      <w:r>
        <w:t xml:space="preserve">a single can(user, action, resource) utility in lib/permissions drives conditional rendering; never scatter role checks across components.</w:t>
      </w:r>
    </w:p>
    <w:p>
      <w:pPr>
        <w:pStyle w:val="ListParagraph"/>
        <w:numPr>
          <w:ilvl w:val="0"/>
          <w:numId w:val="2"/>
        </w:numPr>
        <w:spacing w:after="60"/>
      </w:pPr>
      <w:r>
        <w:rPr>
          <w:b/>
          <w:bCs/>
        </w:rPr>
        <w:t xml:space="preserve">Route guards: </w:t>
      </w:r>
      <w:r>
        <w:t xml:space="preserve">each route declares the roles allowed; unauthorized users are redirected, and the nav rail only shows permitted modules.</w:t>
      </w:r>
    </w:p>
    <w:p>
      <w:pPr>
        <w:pStyle w:val="ListParagraph"/>
        <w:numPr>
          <w:ilvl w:val="0"/>
          <w:numId w:val="2"/>
        </w:numPr>
        <w:spacing w:after="60"/>
      </w:pPr>
      <w:r>
        <w:rPr>
          <w:b/>
          <w:bCs/>
        </w:rPr>
        <w:t xml:space="preserve">Defense in depth: </w:t>
      </w:r>
      <w:r>
        <w:t xml:space="preserve">the same permission contract is validated again on every API call — the UI guard is a convenience, not the gate.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66" w:sz="4" w:space="4"/>
      </w:pBdr>
      <w:jc w:val="right"/>
    </w:pPr>
    <w:r>
      <w:rPr>
        <w:color w:val="555555"/>
        <w:sz w:val="16"/>
        <w:szCs w:val="16"/>
      </w:rPr>
      <w:t xml:space="preserve">InmobiliariaVG — Sales-Agent CRM · Frontend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E7C6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D6F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2026-06-09T20:24:33.512Z</dcterms:created>
  <dcterms:modified xsi:type="dcterms:W3CDTF">2026-06-09T20:24:33.513Z</dcterms:modified>
</cp:coreProperties>
</file>

<file path=docProps/custom.xml><?xml version="1.0" encoding="utf-8"?>
<Properties xmlns="http://schemas.openxmlformats.org/officeDocument/2006/custom-properties" xmlns:vt="http://schemas.openxmlformats.org/officeDocument/2006/docPropsVTypes"/>
</file>