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0E7C66"/>
          <w:sz w:val="60"/>
          <w:szCs w:val="60"/>
        </w:rPr>
        <w:t xml:space="preserve">InmobiliariaVG</w:t>
      </w:r>
    </w:p>
    <w:p>
      <w:pPr>
        <w:spacing w:after="120"/>
        <w:jc w:val="center"/>
      </w:pPr>
      <w:r>
        <w:rPr>
          <w:b/>
          <w:bCs/>
          <w:color w:val="1A1A1A"/>
          <w:sz w:val="40"/>
          <w:szCs w:val="40"/>
        </w:rPr>
        <w:t xml:space="preserve">UX / UI Specification</w:t>
      </w:r>
    </w:p>
    <w:p>
      <w:pPr>
        <w:spacing w:after="400"/>
        <w:jc w:val="center"/>
      </w:pPr>
      <w:r>
        <w:rPr>
          <w:i/>
          <w:iCs/>
          <w:color w:val="555555"/>
          <w:sz w:val="26"/>
          <w:szCs w:val="26"/>
        </w:rPr>
        <w:t xml:space="preserve">A 12-Stage “Peace of Mind” Relocation &amp; Investment Platform</w:t>
      </w:r>
    </w:p>
    <w:p>
      <w:pPr>
        <w:spacing w:after="60"/>
        <w:jc w:val="center"/>
      </w:pPr>
      <w:r>
        <w:rPr>
          <w:color w:val="555555"/>
          <w:sz w:val="22"/>
          <w:szCs w:val="22"/>
        </w:rPr>
        <w:t xml:space="preserve">Real Estate E-Commerce + Relocation Consultancy for the Silver Economy</w:t>
      </w:r>
    </w:p>
    <w:p>
      <w:pPr>
        <w:spacing w:after="1400"/>
        <w:jc w:val="center"/>
      </w:pPr>
      <w:r>
        <w:rPr>
          <w:color w:val="555555"/>
          <w:sz w:val="20"/>
          <w:szCs w:val="20"/>
        </w:rPr>
        <w:t xml:space="preserve">Target audience: foreign retirees (60+) relocating to Colombia / LATAM</w:t>
      </w:r>
    </w:p>
    <w:p>
      <w:pPr>
        <w:jc w:val="center"/>
      </w:pPr>
      <w:r>
        <w:rPr>
          <w:color w:val="555555"/>
          <w:sz w:val="20"/>
          <w:szCs w:val="20"/>
        </w:rPr>
        <w:t xml:space="preserve">Prepared for the product &amp; development team ·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 &amp; Justification</w:t>
      </w:r>
    </w:p>
    <w:p>
      <w:pPr>
        <w:spacing w:after="120"/>
      </w:pPr>
      <w:r>
        <w:t xml:space="preserve">InmobiliariaVG is a peace-of-mind platform for affluent retirees (the “Silver Economy”) buying property and relocating abroad. It is not merely a real-estate marketplace; it is a guided relocation consultancy delivered through one trusted, English-language interface, purpose-built for cautious buyers aged 60 and over.</w:t>
      </w:r>
    </w:p>
    <w:p>
      <w:pPr>
        <w:pStyle w:val="Heading2"/>
      </w:pPr>
      <w:r>
        <w:t xml:space="preserve">1.1 The Problem</w:t>
      </w:r>
    </w:p>
    <w:p>
      <w:pPr>
        <w:spacing w:after="120"/>
      </w:pPr>
      <w:r>
        <w:t xml:space="preserve">The cross-border buying journey for a foreign retiree is broken. It is fragmented across agents, lawyers, banks, and movers; conducted in a foreign language; and riddled with bureaucracy, hidden costs, currency confusion, and visa complexity. On top of the financial risk sits an emotional one: the fear of isolation in a new country. No single product addresses the whole journey, so the buyer carries the coordination burden alone — exactly the burden this audience is least equipped and least willing to bear.</w:t>
      </w:r>
    </w:p>
    <w:p>
      <w:pPr>
        <w:pStyle w:val="Heading2"/>
      </w:pPr>
      <w:r>
        <w:t xml:space="preserve">1.2 The Solution</w:t>
      </w:r>
    </w:p>
    <w:p>
      <w:pPr>
        <w:spacing w:after="120"/>
      </w:pPr>
      <w:r>
        <w:t xml:space="preserve">InmobiliariaVG unifies all twelve stages of the journey — from lifestyle discovery and immersive 3D viewing, through financing, legal and visa support, to arrival and community — and pairs the buyer with vetted human specialists at the right moments. Every step is translated into plain English, every cost is surfaced honestly, and a “Talk to a Human” path is always present. The platform begins as self-service e-commerce and, at one explicit opt-in decision, becomes an accompanied consultancy.</w:t>
      </w:r>
    </w:p>
    <w:p>
      <w:pPr>
        <w:pStyle w:val="Heading2"/>
      </w:pPr>
      <w:r>
        <w:t xml:space="preserve">1.3 Key Differentiators</w:t>
      </w:r>
    </w:p>
    <w:p>
      <w:pPr>
        <w:pStyle w:val="ListParagraph"/>
        <w:numPr>
          <w:ilvl w:val="0"/>
          <w:numId w:val="2"/>
        </w:numPr>
        <w:spacing w:after="60"/>
      </w:pPr>
      <w:r>
        <w:rPr>
          <w:b/>
          <w:bCs/>
        </w:rPr>
        <w:t xml:space="preserve">Immersive 3D discovery: </w:t>
      </w:r>
      <w:r>
        <w:t xml:space="preserve">buyers walk a home — even an unbuilt pre-sale unit — and uncover useful data on every surface.</w:t>
      </w:r>
    </w:p>
    <w:p>
      <w:pPr>
        <w:pStyle w:val="ListParagraph"/>
        <w:numPr>
          <w:ilvl w:val="0"/>
          <w:numId w:val="2"/>
        </w:numPr>
        <w:spacing w:after="60"/>
      </w:pPr>
      <w:r>
        <w:rPr>
          <w:b/>
          <w:bCs/>
        </w:rPr>
        <w:t xml:space="preserve">Map intelligence: </w:t>
      </w:r>
      <w:r>
        <w:t xml:space="preserve">selectable geospatial layers (safety, services, scores) turn location into an informed decision.</w:t>
      </w:r>
    </w:p>
    <w:p>
      <w:pPr>
        <w:pStyle w:val="ListParagraph"/>
        <w:numPr>
          <w:ilvl w:val="0"/>
          <w:numId w:val="2"/>
        </w:numPr>
        <w:spacing w:after="60"/>
      </w:pPr>
      <w:r>
        <w:rPr>
          <w:b/>
          <w:bCs/>
        </w:rPr>
        <w:t xml:space="preserve">The accompanied path: </w:t>
      </w:r>
      <w:r>
        <w:t xml:space="preserve">a warm, opt-in conversion gate moves the buyer from alone to guided without pressure.</w:t>
      </w:r>
    </w:p>
    <w:p>
      <w:pPr>
        <w:pStyle w:val="ListParagraph"/>
        <w:numPr>
          <w:ilvl w:val="0"/>
          <w:numId w:val="2"/>
        </w:numPr>
        <w:spacing w:after="60"/>
      </w:pPr>
      <w:r>
        <w:rPr>
          <w:b/>
          <w:bCs/>
        </w:rPr>
        <w:t xml:space="preserve">Recurring value &amp; belonging: </w:t>
      </w:r>
      <w:r>
        <w:t xml:space="preserve">property management, concierge and community drive retention and referrals long after the sale.</w:t>
      </w:r>
    </w:p>
    <w:p>
      <w:r>
        <w:br w:type="page"/>
      </w:r>
    </w:p>
    <w:p>
      <w:pPr>
        <w:pStyle w:val="Heading1"/>
      </w:pPr>
      <w:r>
        <w:t xml:space="preserve">2. Product Vision &amp; Design Philosophy</w:t>
      </w:r>
    </w:p>
    <w:p>
      <w:pPr>
        <w:spacing w:after="120"/>
      </w:pPr>
      <w:r>
        <w:t xml:space="preserve">InmobiliariaVG is not a traditional real-estate marketplace. It is a guided, step-by-step experience that transforms an intimidating cross-border property purchase into a calm path toward a peaceful new life. The platform begins as self-service e-commerce and progressively becomes a human relocation consultancy — legal, financial, and migration support — delivered through a single, trusted interface.</w:t>
      </w:r>
    </w:p>
    <w:p>
      <w:pPr>
        <w:spacing w:after="120"/>
      </w:pPr>
      <w:r>
        <w:t xml:space="preserve">Every design decision answers one emotional question for the buyer: “Can I trust this enough to move my life and my money to another country?” The entire journey is built to convert that anxiety into confidence.</w:t>
      </w:r>
    </w:p>
    <w:p>
      <w:pPr>
        <w:pStyle w:val="Heading2"/>
      </w:pPr>
      <w:r>
        <w:t xml:space="preserve">1.1 Target Audience &amp; Tone</w:t>
      </w:r>
    </w:p>
    <w:p>
      <w:pPr>
        <w:spacing w:after="120"/>
      </w:pPr>
      <w:r>
        <w:t xml:space="preserve">Foreign retirees aged 60 and over from North America and Europe. They hold capital and value safety, peace of mind, and financial efficiency, but may feel anxious about international bureaucracy, legalities, and technology barriers. The entire ecosystem is in English. The tone is empathetic, reassuring, professional, trustworthy, and crystal clear — free of jargon, tech-slang, and aggressive sales tactics.</w:t>
      </w:r>
    </w:p>
    <w:p>
      <w:pPr>
        <w:pStyle w:val="Heading2"/>
      </w:pPr>
      <w:r>
        <w:t xml:space="preserve">1.2 Core Accessibility Principles (Age-Tech)</w:t>
      </w:r>
    </w:p>
    <w:p>
      <w:pPr>
        <w:spacing w:after="120"/>
      </w:pPr>
      <w:r>
        <w:t xml:space="preserve">Because the audience consists of older adults, accessibility is proactive, not an afterthought:</w:t>
      </w:r>
    </w:p>
    <w:p>
      <w:pPr>
        <w:pStyle w:val="ListParagraph"/>
        <w:numPr>
          <w:ilvl w:val="0"/>
          <w:numId w:val="2"/>
        </w:numPr>
        <w:spacing w:after="60"/>
      </w:pPr>
      <w:r>
        <w:rPr>
          <w:b/>
          <w:bCs/>
        </w:rPr>
        <w:t xml:space="preserve">Visual clarity: </w:t>
      </w:r>
      <w:r>
        <w:t xml:space="preserve">high contrast, large and adjustable font sizes, legible typography, descriptive iconography.</w:t>
      </w:r>
    </w:p>
    <w:p>
      <w:pPr>
        <w:pStyle w:val="ListParagraph"/>
        <w:numPr>
          <w:ilvl w:val="0"/>
          <w:numId w:val="2"/>
        </w:numPr>
        <w:spacing w:after="60"/>
      </w:pPr>
      <w:r>
        <w:rPr>
          <w:b/>
          <w:bCs/>
        </w:rPr>
        <w:t xml:space="preserve">Cognitive comfort: </w:t>
      </w:r>
      <w:r>
        <w:t xml:space="preserve">zero-friction navigation, clear progress indicators, no overwhelming pop-ups, and a “Talk to a Human / Get Help” button always visible.</w:t>
      </w:r>
    </w:p>
    <w:p>
      <w:pPr>
        <w:pStyle w:val="ListParagraph"/>
        <w:numPr>
          <w:ilvl w:val="0"/>
          <w:numId w:val="2"/>
        </w:numPr>
        <w:spacing w:after="60"/>
      </w:pPr>
      <w:r>
        <w:rPr>
          <w:b/>
          <w:bCs/>
        </w:rPr>
        <w:t xml:space="preserve">Assisted experience: </w:t>
      </w:r>
      <w:r>
        <w:t xml:space="preserve">guided flows, tooltips explaining local terms, and asynchronous support (video tours, voice notes, downloadable simple PDFs).</w:t>
      </w:r>
    </w:p>
    <w:p>
      <w:pPr>
        <w:pStyle w:val="ListParagraph"/>
        <w:numPr>
          <w:ilvl w:val="0"/>
          <w:numId w:val="2"/>
        </w:numPr>
        <w:spacing w:after="60"/>
      </w:pPr>
      <w:r>
        <w:rPr>
          <w:b/>
          <w:bCs/>
        </w:rPr>
        <w:t xml:space="preserve">Reduced-motion respect: </w:t>
      </w:r>
      <w:r>
        <w:t xml:space="preserve">every zoom/animated transition has a non-animated cross-fade fallback so no user feels dizzy or lost.</w:t>
      </w:r>
    </w:p>
    <w:p>
      <w:pPr>
        <w:pStyle w:val="ListParagraph"/>
        <w:numPr>
          <w:ilvl w:val="0"/>
          <w:numId w:val="2"/>
        </w:numPr>
        <w:spacing w:after="60"/>
      </w:pPr>
      <w:r>
        <w:rPr>
          <w:b/>
          <w:bCs/>
        </w:rPr>
        <w:t xml:space="preserve">Large tap targets: </w:t>
      </w:r>
      <w:r>
        <w:t xml:space="preserve">minimum 48px interactive elements throughout, optimized for 60+ hands and eyes.</w:t>
      </w:r>
    </w:p>
    <w:p>
      <w:r>
        <w:br w:type="page"/>
      </w:r>
    </w:p>
    <w:p>
      <w:pPr>
        <w:pStyle w:val="Heading1"/>
      </w:pPr>
      <w:r>
        <w:t xml:space="preserve">2. The 12-Stage User Journey</w:t>
      </w:r>
    </w:p>
    <w:p>
      <w:pPr>
        <w:spacing w:after="120"/>
      </w:pPr>
      <w:r>
        <w:t xml:space="preserve">The journey is organized into four phases. Phase I is autonomous and asynchronous (the user explores alone); Phase II introduces synchronous human contact and the first binding commitment; Phases III and IV deliver the consultancy that distinguishes the platform from a simple listings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200"/>
        <w:gridCol w:w="2460"/>
      </w:tblGrid>
      <w:tr>
        <w:trPr>
          <w:tblHeader/>
        </w:trPr>
        <w:tc>
          <w:tcPr>
            <w:tcW w:type="dxa" w:w="15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What the user does</w:t>
            </w:r>
          </w:p>
        </w:tc>
        <w:tc>
          <w:tcPr>
            <w:tcW w:type="dxa" w:w="24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Emotional state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 – Discovery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Lifestyle 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Filters by lifestyle, not square footage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Hopeful, exploring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Save &amp; Compare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Side-by-side pros &amp; cons bucket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Organizing, narrowing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Deep info &amp; immersion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ROI, cost of living, safety + 3D/360 viewer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Doing homework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II – Negotiation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Contact a sales specialist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video tour, chat, negotiation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Getting closer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Interactive quotation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Transparent calculator, no hidden fees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Weighing numbers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 Promise-to-buy signature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Secure cross-border e-signature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Committing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III – Concierge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 Financing &amp; payment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Wire transfers, compliance, AML/KYC</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Anxious about money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III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 Legal &amp; visa attorney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Title study, deed, retirement visa</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Relieved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III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 Holistic advisory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Tax, family, healthcare, wealth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Cared for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IV –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Closing &amp; relocation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Keys, moving &amp; shipping logistics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Excited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 Arrival &amp; adaptation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Interior design, senior smart-home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Settling 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 Long-term &amp; community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Concierge, rentals, community events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Belonging</w:t>
            </w:r>
          </w:p>
        </w:tc>
      </w:tr>
    </w:tbl>
    <w:p>
      <w:r>
        <w:br w:type="page"/>
      </w:r>
    </w:p>
    <w:p>
      <w:pPr>
        <w:pStyle w:val="Heading1"/>
      </w:pPr>
      <w:r>
        <w:t xml:space="preserve">3. Navigation Model — Continuous Zoom</w:t>
      </w:r>
    </w:p>
    <w:p>
      <w:pPr>
        <w:spacing w:after="120"/>
      </w:pPr>
      <w:r>
        <w:t xml:space="preserve">The user never feels they are “loading a new page.” Instead, the interface behaves like a map that zooms in and out across four spatial levels. Two transitions carry the entire experience:</w:t>
      </w:r>
    </w:p>
    <w:p>
      <w:pPr>
        <w:spacing w:after="120"/>
      </w:pPr>
      <w:r>
        <w:rPr>
          <w:b/>
          <w:bCs/>
          <w:color w:val="0E7C66"/>
        </w:rPr>
        <w:t xml:space="preserve">Zoom IN (entering): </w:t>
      </w:r>
      <w:r>
        <w:t xml:space="preserve">each card or pin magnifies into the next full view. It feels like walking closer, not navigating menus.</w:t>
      </w:r>
    </w:p>
    <w:p>
      <w:pPr>
        <w:spacing w:after="120"/>
      </w:pPr>
      <w:r>
        <w:rPr>
          <w:b/>
          <w:bCs/>
          <w:color w:val="6B3FA0"/>
        </w:rPr>
        <w:t xml:space="preserve">Zoom OUT (back): </w:t>
      </w:r>
      <w:r>
        <w:t xml:space="preserve">a single persistent back gesture or button pulls the user out — ficha to map, map to home. The previous level stays “behind” the current one, so users return exactly where they left off (same scroll, same pin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400"/>
        <w:gridCol w:w="2660"/>
      </w:tblGrid>
      <w:tr>
        <w:trPr>
          <w:tblHeader/>
        </w:trPr>
        <w:tc>
          <w:tcPr>
            <w:tcW w:type="dxa" w:w="9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Screen</w:t>
            </w:r>
          </w:p>
        </w:tc>
        <w:tc>
          <w:tcPr>
            <w:tcW w:type="dxa" w:w="34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Default behavior</w:t>
            </w:r>
          </w:p>
        </w:tc>
        <w:tc>
          <w:tcPr>
            <w:tcW w:type="dxa" w:w="26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Transition out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 / E-commerce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Chatbot box + huge property-type icon cards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Pick a type → zoom into the map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Navigable map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Airbnb-style map, price pins, draggable card sheet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Tap pin/card → zoom into the ficha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Property ficha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Adaptive viewer + always-on info panel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Tap “Enter / Walk through” → fullscreen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Fullscreen immersion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Edge-to-edge 3D / image zoom / video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or swipe-down → zoom back out</w:t>
            </w:r>
          </w:p>
        </w:tc>
      </w:tr>
    </w:tbl>
    <w:p>
      <w:pPr>
        <w:spacing w:after="120"/>
      </w:pPr>
      <w:r>
        <w:t xml:space="preserve">Mobile-first: the map is full-screen with a draggable card sheet in thumb-reach; the ficha stacks vertically (viewer on top, info below). All four levels are responsive.</w:t>
      </w:r>
    </w:p>
    <w:p>
      <w:r>
        <w:br w:type="page"/>
      </w:r>
    </w:p>
    <w:p>
      <w:pPr>
        <w:pStyle w:val="Heading1"/>
      </w:pPr>
      <w:r>
        <w:t xml:space="preserve">4. Phase I — Discovery, Selection &amp; Immersion</w:t>
      </w:r>
    </w:p>
    <w:p>
      <w:pPr>
        <w:pStyle w:val="Heading2"/>
      </w:pPr>
      <w:r>
        <w:t xml:space="preserve">4.1 Level 1 — Home / E-commerce</w:t>
      </w:r>
    </w:p>
    <w:p>
      <w:pPr>
        <w:spacing w:after="120"/>
      </w:pPr>
      <w:r>
        <w:t xml:space="preserve">Deliberately simple. Two paths only: talk to a chatbot, or pick a property type. The chatbot is a friendly text box (“Tell us what you’re dreaming of…”), not a search bar — users describe a feeling in plain English and the bot routes them into the map. Below it sit huge icon cards for each property type.</w:t>
      </w:r>
    </w:p>
    <w:p>
      <w:pPr>
        <w:spacing w:after="120"/>
      </w:pPr>
      <w:r>
        <w:rPr>
          <w:b/>
          <w:bCs/>
        </w:rPr>
        <w:t xml:space="preserve">Property types (icon cards): </w:t>
      </w:r>
      <w:r>
        <w:t xml:space="preserve">Apartment, House, Penthouse, Finca/Farm, Land/Lot, plus a “See all types” for the full list — parcela, mansión, lote para construir, lote rural, and others.</w:t>
      </w:r>
    </w:p>
    <w:p>
      <w:pPr>
        <w:pStyle w:val="Heading2"/>
      </w:pPr>
      <w:r>
        <w:t xml:space="preserve">4.2 Level 2 — Navigable Map</w:t>
      </w:r>
    </w:p>
    <w:p>
      <w:pPr>
        <w:spacing w:after="120"/>
      </w:pPr>
      <w:r>
        <w:t xml:space="preserve">An Airbnb-style full-screen map with price pins. A draggable bottom card sheet stays in thumb-reach; pins and cards stay in sync (selecting one highlights the other). Filters are lifestyle-based: beach, mountains, near a clinic, gated community, climate. A map (not a list) is used because retirees think geographically about their new life, and the pattern is already familiar.</w:t>
      </w:r>
    </w:p>
    <w:p>
      <w:pPr>
        <w:pStyle w:val="Heading3"/>
      </w:pPr>
      <w:r>
        <w:t xml:space="preserve">4.2.1 Map Intelligence — Selectable Data Layers</w:t>
      </w:r>
    </w:p>
    <w:p>
      <w:pPr>
        <w:spacing w:after="120"/>
      </w:pPr>
      <w:r>
        <w:t xml:space="preserve">The map is more than a pin board; it is a geospatial intelligence system. The user toggles data layers on and off — like map layers in Google Maps, but simplified for a 60+ audience. There are three layer types, each answering a different question:</w:t>
      </w:r>
    </w:p>
    <w:p>
      <w:pPr>
        <w:pStyle w:val="ListParagraph"/>
        <w:numPr>
          <w:ilvl w:val="0"/>
          <w:numId w:val="2"/>
        </w:numPr>
        <w:spacing w:after="60"/>
      </w:pPr>
      <w:r>
        <w:rPr>
          <w:b/>
          <w:bCs/>
        </w:rPr>
        <w:t xml:space="preserve">Type A — Zone heatmaps (“what is this area like?”): </w:t>
      </w:r>
      <w:r>
        <w:t xml:space="preserve">paint regions by color intensity. Layers: safety/security, estrato/property value, socio-economic sustainability, climate comfort by season, noise/tranquility.</w:t>
      </w:r>
    </w:p>
    <w:p>
      <w:pPr>
        <w:pStyle w:val="ListParagraph"/>
        <w:numPr>
          <w:ilvl w:val="0"/>
          <w:numId w:val="2"/>
        </w:numPr>
        <w:spacing w:after="60"/>
      </w:pPr>
      <w:r>
        <w:rPr>
          <w:b/>
          <w:bCs/>
        </w:rPr>
        <w:t xml:space="preserve">Type B — Service points (“what’s nearby?”): </w:t>
      </w:r>
      <w:r>
        <w:t xml:space="preserve">plot real places around the home as icons. Layers: hospitals &amp; clinics, pharmacies, supermarkets &amp; essentials, public transport &amp; airports, beaches/parks/recreation.</w:t>
      </w:r>
    </w:p>
    <w:p>
      <w:pPr>
        <w:pStyle w:val="ListParagraph"/>
        <w:numPr>
          <w:ilvl w:val="0"/>
          <w:numId w:val="2"/>
        </w:numPr>
        <w:spacing w:after="60"/>
      </w:pPr>
      <w:r>
        <w:rPr>
          <w:b/>
          <w:bCs/>
        </w:rPr>
        <w:t xml:space="preserve">Type C — Per-property scores (“how good is THIS one?”): </w:t>
      </w:r>
      <w:r>
        <w:t xml:space="preserve">a computed score on each pin. Scores: walkability, healthcare access, safety index, value-for-money, and a personalized “your lifestyle” fit.</w:t>
      </w:r>
    </w:p>
    <w:p>
      <w:pPr>
        <w:spacing w:after="120"/>
      </w:pPr>
      <w:r>
        <w:t xml:space="preserve">Data sourcing is mostly external APIs: service points from Google Places / OpenStreetMap (auto-updating); safety and socio-economic data from government open data (e.g., DANE estrato, crime statistics) with curated overlays where APIs are thin; per-property scores computed in-house by combining Types A and B (e.g., healthcare access = distance + count of clinics within 2 km).</w:t>
      </w:r>
    </w:p>
    <w:p>
      <w:pPr>
        <w:spacing w:after="120"/>
      </w:pPr>
      <w:r>
        <w:t xml:space="preserve">To avoid overwhelming the audience, the layer UI is deliberately tamed: a single floating “Layers” button keeps the map clean until the user chooses to dig deeper; layers are labeled as plain-language questions (“How safe is this area?”), never data jargon; heatmaps are mutually exclusive (one at a time) so colors never muddy, while service points combine freely; one-tap preset bundles (“Health-focused”, “Family &amp; safety”, “Investor”) flip several layers at once; and a plain-language legend plus a visible source + “last updated” date accompany every layer so a cautious retiree can verify the data.</w:t>
      </w:r>
    </w:p>
    <w:p>
      <w:pPr>
        <w:pStyle w:val="Heading2"/>
      </w:pPr>
      <w:r>
        <w:t xml:space="preserve">4.3 Level 3 — Property Ficha (the smart container)</w:t>
      </w:r>
    </w:p>
    <w:p>
      <w:pPr>
        <w:spacing w:after="120"/>
      </w:pPr>
      <w:r>
        <w:t xml:space="preserve">The ficha layout never changes — the user learns it once and trusts it everywhere. The central viewer adapts to whatever content each property has, always defaulting to the most immersive mode available. This is graceful degradation:</w:t>
      </w:r>
    </w:p>
    <w:p>
      <w:pPr>
        <w:pStyle w:val="ListParagraph"/>
        <w:numPr>
          <w:ilvl w:val="0"/>
          <w:numId w:val="2"/>
        </w:numPr>
        <w:spacing w:after="60"/>
      </w:pPr>
      <w:r>
        <w:rPr>
          <w:b/>
          <w:bCs/>
        </w:rPr>
        <w:t xml:space="preserve">FULL (3D model / render exists): </w:t>
      </w:r>
      <w:r>
        <w:t xml:space="preserve">defaults to free navigation — the user can “walk” the home immediately, even for pre-sale units that aren’t built yet.</w:t>
      </w:r>
    </w:p>
    <w:p>
      <w:pPr>
        <w:pStyle w:val="ListParagraph"/>
        <w:numPr>
          <w:ilvl w:val="0"/>
          <w:numId w:val="2"/>
        </w:numPr>
        <w:spacing w:after="60"/>
      </w:pPr>
      <w:r>
        <w:rPr>
          <w:b/>
          <w:bCs/>
        </w:rPr>
        <w:t xml:space="preserve">MID (360° / video only): </w:t>
      </w:r>
      <w:r>
        <w:t xml:space="preserve">defaults to pannable panorama + video tour; hotspots still work.</w:t>
      </w:r>
    </w:p>
    <w:p>
      <w:pPr>
        <w:pStyle w:val="ListParagraph"/>
        <w:numPr>
          <w:ilvl w:val="0"/>
          <w:numId w:val="2"/>
        </w:numPr>
        <w:spacing w:after="60"/>
      </w:pPr>
      <w:r>
        <w:rPr>
          <w:b/>
          <w:bCs/>
        </w:rPr>
        <w:t xml:space="preserve">BASIC (photos only): </w:t>
      </w:r>
      <w:r>
        <w:t xml:space="preserve">defaults to the photo gallery with an honest “3D tour coming soon” banner.</w:t>
      </w:r>
    </w:p>
    <w:p>
      <w:pPr>
        <w:spacing w:after="120"/>
      </w:pPr>
      <w:r>
        <w:t xml:space="preserve">Empty modes auto-hide so the user never taps a dead button. The always-on side panel shows price, cost of living, safety score, distance to clinic and beach, and estimated ROI — the data that calms anxiety. Tooltips explain local terms (e.g., “escritura” = the official deed).</w:t>
      </w:r>
    </w:p>
    <w:p>
      <w:pPr>
        <w:pStyle w:val="Heading3"/>
      </w:pPr>
      <w:r>
        <w:t xml:space="preserve">4.3.1 Enriched Data — Map Layers, Landed on the Home</w:t>
      </w:r>
    </w:p>
    <w:p>
      <w:pPr>
        <w:spacing w:after="120"/>
      </w:pPr>
      <w:r>
        <w:t xml:space="preserve">The map and the ficha are never separate datasets; they are the same layer system rendered at two scales. A safety heatmap over a region on the map becomes “Safety 8.4” for this exact address on the ficha. Hospital service pins around the area become “Clínica El Prado — 1.2 km, 4 min walk.” The buyer experiences consistency: what the platform promised at the zone level, it delivers at the home level — and that consistency builds deep trust.</w:t>
      </w:r>
    </w:p>
    <w:p>
      <w:pPr>
        <w:spacing w:after="120"/>
      </w:pPr>
      <w:r>
        <w:t xml:space="preserve">A headline “Your lifestyle match” score (e.g., 8.7 / 10) sits at the top of the ficha. It is not a generic rating — it is weighted by the filters the user chose in Level 1 (beach, medical proximity, quiet), so a different buyer sees a different number for the same home. This turns raw data into a personal recommendation. Below it, the contributing scores (safety, healthcare access, walkability, tranquility, value-for-money) are shown as labeled bars, and a “nearby services” list inherits the same map-layer data with identical source and date. Every score is tappable and reveals its formula in plain English (“9.0 because 3 clinics within 2 km”), preserving the transparency-equals-trust rule throughout.</w:t>
      </w:r>
    </w:p>
    <w:p>
      <w:pPr>
        <w:pStyle w:val="Heading3"/>
      </w:pPr>
      <w:r>
        <w:t xml:space="preserve">4.3.2 Persistent Summary — Key Data Always Visible</w:t>
      </w:r>
    </w:p>
    <w:p>
      <w:pPr>
        <w:spacing w:after="120"/>
      </w:pPr>
      <w:r>
        <w:t xml:space="preserve">Four facts answer a retiree’s four biggest, constantly-recurring questions: cost of living (affordability), safety score (security), nearest clinic (health), and estimated ROI (return). Because the buyer re-checks these anxieties repeatedly, the summary must never disappear behind scrolling or 3D navigation. It is implemented as a persistent summary that transitions through three states:</w:t>
      </w:r>
    </w:p>
    <w:p>
      <w:pPr>
        <w:pStyle w:val="ListParagraph"/>
        <w:numPr>
          <w:ilvl w:val="0"/>
          <w:numId w:val="2"/>
        </w:numPr>
        <w:spacing w:after="60"/>
      </w:pPr>
      <w:r>
        <w:rPr>
          <w:b/>
          <w:bCs/>
        </w:rPr>
        <w:t xml:space="preserve">State A — Top of page (full panel): </w:t>
      </w:r>
      <w:r>
        <w:t xml:space="preserve">the four facts live in the full info panel with complete labels.</w:t>
      </w:r>
    </w:p>
    <w:p>
      <w:pPr>
        <w:pStyle w:val="ListParagraph"/>
        <w:numPr>
          <w:ilvl w:val="0"/>
          <w:numId w:val="2"/>
        </w:numPr>
        <w:spacing w:after="60"/>
      </w:pPr>
      <w:r>
        <w:rPr>
          <w:b/>
          <w:bCs/>
        </w:rPr>
        <w:t xml:space="preserve">State B — Scrolled (condensed sticky bar): </w:t>
      </w:r>
      <w:r>
        <w:t xml:space="preserve">as the user scrolls, the panel smoothly morphs into a slim bar pinned to the top of the screen. Labels shorten (“Cost of living” → “💰 Living”), values stay bold and high-contrast. The data shrinks; it never leaves. Tapping the bar re-expands it to the full panel.</w:t>
      </w:r>
    </w:p>
    <w:p>
      <w:pPr>
        <w:pStyle w:val="ListParagraph"/>
        <w:numPr>
          <w:ilvl w:val="0"/>
          <w:numId w:val="2"/>
        </w:numPr>
        <w:spacing w:after="60"/>
      </w:pPr>
      <w:r>
        <w:rPr>
          <w:b/>
          <w:bCs/>
        </w:rPr>
        <w:t xml:space="preserve">State C — Fullscreen 3D (floating chip): </w:t>
      </w:r>
      <w:r>
        <w:t xml:space="preserve">the four facts collapse into a single translucent chip floating over the scene — visible but never blocking the home. Tap to re-expand.</w:t>
      </w:r>
    </w:p>
    <w:p>
      <w:pPr>
        <w:spacing w:after="120"/>
      </w:pPr>
      <w:r>
        <w:t xml:space="preserve">Responsive rules: on mobile the sticky bar spans the full width at the top (~44px tall) with four compact icon-stats; on desktop the side info panel itself stays fixed (sticky) while the main column scrolls, so no collapse is needed. Accessibility rules: values keep large, high-contrast type even when condensed, icons add a second visual cue, and a reduced-motion preference replaces the morph with a simple appear/hide — no sliding animation that could disorient the user.</w:t>
      </w:r>
    </w:p>
    <w:p>
      <w:pPr>
        <w:pStyle w:val="Heading2"/>
      </w:pPr>
      <w:r>
        <w:t xml:space="preserve">4.4 Level 4 — Fullscreen Immersive Mode</w:t>
      </w:r>
    </w:p>
    <w:p>
      <w:pPr>
        <w:spacing w:after="120"/>
      </w:pPr>
      <w:r>
        <w:t xml:space="preserve">The final zoom-in. The viewer expands edge-to-edge and the UI gets out of the way, leaving only floating translucent controls. One dock provides three powers: navigate 3D, zoom images, and play video. A “jump to room” dollhouse lets users teleport with one tap instead of dragging. Accessibility controls and “Get Help” remain present. This is the one place a dark stage is used intentionally — like a cinema, it makes the home pop — always with a one-tap exit and reduced-motion fallback.</w:t>
      </w:r>
    </w:p>
    <w:p>
      <w:r>
        <w:br w:type="page"/>
      </w:r>
    </w:p>
    <w:p>
      <w:pPr>
        <w:pStyle w:val="Heading1"/>
      </w:pPr>
      <w:r>
        <w:t xml:space="preserve">5. Immersive 3D Architecture</w:t>
      </w:r>
    </w:p>
    <w:p>
      <w:pPr>
        <w:spacing w:after="120"/>
      </w:pPr>
      <w:r>
        <w:t xml:space="preserve">The immersive viewer is not a decorative object — it is an information surface. Every point of the model can reveal a useful fact. Four layers make this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tblHeader/>
        </w:trPr>
        <w:tc>
          <w:tcPr>
            <w:tcW w:type="dxa" w:w="17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Responsibility</w:t>
            </w:r>
          </w:p>
        </w:tc>
        <w:tc>
          <w:tcPr>
            <w:tcW w:type="dxa" w:w="56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Key choices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Content sources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Capture each property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Scan (Matterport/Ricoh 360°) for built homes; builder renders/BIM (.glb, .fbx, IFC) for pre-sale; photo + drone video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Media pipeline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Optimize &amp; deliver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Compress models (Draco), generate LODs, transcode video (HLS), tag hotspots; store on cloud bucket + edge CDN for fast worldwide load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Web viewer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Render &amp; interact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React-Three-Fiber / Three.js (WebGL); unified 3D / 360 / photo modes; clickable hotspots; mobile-ready; accessible; lazy-load for low bandwidth</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Data layer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Contextual info</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feeds price, ROI, cost of living, safety, distances, and local-term tooltips into hotspots and the side panel; CRM-linked</w:t>
            </w:r>
          </w:p>
        </w:tc>
      </w:tr>
    </w:tbl>
    <w:p>
      <w:pPr>
        <w:pStyle w:val="Heading2"/>
      </w:pPr>
      <w:r>
        <w:t xml:space="preserve">5.1 Content Strategy Recommendation</w:t>
      </w:r>
    </w:p>
    <w:p>
      <w:pPr>
        <w:spacing w:after="120"/>
      </w:pPr>
      <w:r>
        <w:t xml:space="preserve">Use real scanning (Matterport/Ricoh 360°) for already-built inventory — immediate realism, low development effort. Use builder renders / BIM models for pre-sale projects sold off-plan, where there is nothing physical to scan. These two pipelines map directly to two real moments in the business.</w:t>
      </w:r>
    </w:p>
    <w:p>
      <w:pPr>
        <w:pStyle w:val="Heading2"/>
      </w:pPr>
      <w:r>
        <w:t xml:space="preserve">5.2 Rollout — MVP-First, Then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660"/>
      </w:tblGrid>
      <w:tr>
        <w:trPr>
          <w:tblHeader/>
        </w:trPr>
        <w:tc>
          <w:tcPr>
            <w:tcW w:type="dxa" w:w="17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Phase</w:t>
            </w:r>
          </w:p>
        </w:tc>
        <w:tc>
          <w:tcPr>
            <w:tcW w:type="dxa" w:w="50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Scope</w:t>
            </w:r>
          </w:p>
        </w:tc>
        <w:tc>
          <w:tcPr>
            <w:tcW w:type="dxa" w:w="26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Why / risk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MVP (8–12 wks)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Embed 360° tours (Matterport/Kuula) + overlay info hotspots; photo &amp; video galleries; side data panel; accessibility baseline; PDF export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 risk; validates demand fast; no custom 3D engine. Main cost is per-property capture.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 Custom viewer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 WebGL viewer (R3F/Three.js) loading builder .glb models; walk pre-sale units; unified modes; hotspots tied to live data API</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Differentiator with full control; needs 3D developer + pipeline build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 Intelligent immersion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Finish/furniture configurator, sun-path by hour, optional VR, AI guide answering “is it quiet?” in plain English, side-by-side 3D comparison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Premium “wow” and long-term moat; build only after B proves value</w:t>
            </w:r>
          </w:p>
        </w:tc>
      </w:tr>
    </w:tbl>
    <w:p>
      <w:r>
        <w:br w:type="page"/>
      </w:r>
    </w:p>
    <w:p>
      <w:pPr>
        <w:pStyle w:val="Heading1"/>
      </w:pPr>
      <w:r>
        <w:t xml:space="preserve">6. Phase II — Negotiate, Contact &amp; Sign Promise</w:t>
      </w:r>
    </w:p>
    <w:p>
      <w:pPr>
        <w:spacing w:after="120"/>
      </w:pPr>
      <w:r>
        <w:t xml:space="preserve">This phase is the pivot from self-service store to human consultancy, using a team-by-specialty model: the buyer meets the right expert at each step, and context always travels forward so they never re-explain their situation.</w:t>
      </w:r>
    </w:p>
    <w:p>
      <w:pPr>
        <w:pStyle w:val="Heading2"/>
      </w:pPr>
      <w:r>
        <w:t xml:space="preserve">6.0 The Conversion Gate — Self-Service Becomes Accompanied</w:t>
      </w:r>
    </w:p>
    <w:p>
      <w:pPr>
        <w:spacing w:after="120"/>
      </w:pPr>
      <w:r>
        <w:t xml:space="preserve">Phase II contains the single most important crossing in the journey: the point where the buyer stops being alone (self-service) and chooses to be accompanied by an advisor. Although the stages are numbered Step 5 (quotation) and Step 4 (specialist contact), in the actual buyer flow the quotation happens first, and the contact follows. The jump between them is not automatic — it is an explicit, opt-in decision made by the buyer: “quote this home and have someone contact me.” From that decision onward, the flow continues for the buyer but now in the company of the advisor; they are never alone again.</w:t>
      </w:r>
    </w:p>
    <w:p>
      <w:pPr>
        <w:spacing w:after="120"/>
      </w:pPr>
      <w:r>
        <w:t xml:space="preserve">The gate is presented at the bottom of the quote with two honest, equally respected paths: convert (“Quote this home &amp; have an advisor contact me”, stated as free and no-obligation) or keep exploring (“Not yet — I’m still exploring”, with download/save/compare options never hidden or shamed). Contact is opt-in, not opt-out — critical for a cautious 60+ audience — and a plain “choosing contact doesn’t commit you to buy” reassurance removes the fear that contact equals sales pressure. When the buyer opts in, the quote becomes the lead: its exact terms travel into the CRM, and a named advisor opens the conversation already knowing everything (no repeating). A confirmation screen names the advisor and sets the response-time expectation. This self-service-to-accompanied crossing is the platform’s primary conversion metric and should be tracked closely; warm, opt-in conversion outperforms aggressive lead capture for this audience.</w:t>
      </w:r>
    </w:p>
    <w:p>
      <w:pPr>
        <w:pStyle w:val="Heading2"/>
      </w:pPr>
      <w:r>
        <w:t xml:space="preserve">6.1 Step 5 — Interactive Quotation &amp; Payment Simulator</w:t>
      </w:r>
    </w:p>
    <w:p>
      <w:pPr>
        <w:spacing w:after="120"/>
      </w:pPr>
      <w:r>
        <w:t xml:space="preserve">A calculator that explains every number. Big sliders adjust the down payment with live feedback (no “calculate” button). Critically, it shows total-to-close — not just the price — including notary, deed fees, taxes and registration, each with a tooltip defining the local term. Surprise costs are the number-one anxiety in cross-border buying, so they are surfaced up front. Two soft exits: download the quote PDF to think it over, or talk to a human. The terms the user selects travel into the next step.</w:t>
      </w:r>
    </w:p>
    <w:p>
      <w:pPr>
        <w:spacing w:after="120"/>
      </w:pPr>
      <w:r>
        <w:t xml:space="preserve">Unlike a typical mortgage calculator built for a young local buyer, this simulator is built for a foreign retiree. It supports three payment paths, freely combinable:</w:t>
      </w:r>
    </w:p>
    <w:p>
      <w:pPr>
        <w:pStyle w:val="ListParagraph"/>
        <w:numPr>
          <w:ilvl w:val="0"/>
          <w:numId w:val="2"/>
        </w:numPr>
        <w:spacing w:after="60"/>
      </w:pPr>
      <w:r>
        <w:rPr>
          <w:b/>
          <w:bCs/>
        </w:rPr>
        <w:t xml:space="preserve">Cash: </w:t>
      </w:r>
      <w:r>
        <w:t xml:space="preserve">pay in full; the tool focuses on closing costs and currency timing.</w:t>
      </w:r>
    </w:p>
    <w:p>
      <w:pPr>
        <w:pStyle w:val="ListParagraph"/>
        <w:numPr>
          <w:ilvl w:val="0"/>
          <w:numId w:val="2"/>
        </w:numPr>
        <w:spacing w:after="60"/>
      </w:pPr>
      <w:r>
        <w:rPr>
          <w:b/>
          <w:bCs/>
        </w:rPr>
        <w:t xml:space="preserve">Builder financing: </w:t>
      </w:r>
      <w:r>
        <w:t xml:space="preserve">down payment plus installments tied to construction milestones — common and lower-risk in LATAM pre-sale.</w:t>
      </w:r>
    </w:p>
    <w:p>
      <w:pPr>
        <w:pStyle w:val="ListParagraph"/>
        <w:numPr>
          <w:ilvl w:val="0"/>
          <w:numId w:val="2"/>
        </w:numPr>
        <w:spacing w:after="60"/>
      </w:pPr>
      <w:r>
        <w:rPr>
          <w:b/>
          <w:bCs/>
        </w:rPr>
        <w:t xml:space="preserve">Mortgage: </w:t>
      </w:r>
      <w:r>
        <w:t xml:space="preserve">interest rate, term and amortization, with an honest note that bank loans are harder for foreigners in Colombia.</w:t>
      </w:r>
    </w:p>
    <w:p>
      <w:pPr>
        <w:spacing w:after="120"/>
      </w:pPr>
      <w:r>
        <w:t xml:space="preserve">The engine always shows honest totals: property price, plus notary/deed fees, taxes and registration, plus the currency conversion spread (a real cost most tools hide), equalling the total to close; the monthly payment if financed; and the total interest paid over the term (no “low monthly payment” tricks). A milestone-based payment schedule shows exactly when each amount is due. All outputs are actionable: a full payment schedule, a downloadable simple PDF, an optional voice summary, and a “lock &amp; talk to a specialist” button that carries every chosen term into the sales conversation. Accessibility is preserved with large sliders, large type, plain-language inputs, and a tooltip explaining every term on tap.</w:t>
      </w:r>
    </w:p>
    <w:p>
      <w:pPr>
        <w:pStyle w:val="Heading3"/>
      </w:pPr>
      <w:r>
        <w:t xml:space="preserve">6.1.1 Real-Time, Multi-Currency Conversion (Requirement)</w:t>
      </w:r>
    </w:p>
    <w:p>
      <w:pPr>
        <w:spacing w:after="120"/>
      </w:pPr>
      <w:r>
        <w:t xml:space="preserve">Property prices are stored in Colombian pesos (COP), but the buyer thinks in their home currency. The simulator must therefore obtain real-time exchange-rate information (from Google Finance data or an equivalent live exchange-rate API) so that any currency can be compared to COP. This is a core requirement, not an enhancement: “what is this in my money, right now?” is the single most reassuring answer the platform can give a foreign retiree.</w:t>
      </w:r>
    </w:p>
    <w:p>
      <w:pPr>
        <w:spacing w:after="120"/>
      </w:pPr>
      <w:r>
        <w:rPr>
          <w:b/>
          <w:bCs/>
        </w:rPr>
        <w:t xml:space="preserve">Data flow: </w:t>
      </w:r>
      <w:r>
        <w:t xml:space="preserve">an external live FX feed supplies rates → a backend service fetches them on a schedule (every 15–60 minutes) and caches them with a timestamp → the simulator renders every figure in both the buyer’s currency and COP, always displaying the rate used and its “as of” time.</w:t>
      </w:r>
    </w:p>
    <w:p>
      <w:pPr>
        <w:spacing w:after="120"/>
      </w:pPr>
      <w:r>
        <w:t xml:space="preserve">Functional requirements:</w:t>
      </w:r>
    </w:p>
    <w:p>
      <w:pPr>
        <w:pStyle w:val="ListParagraph"/>
        <w:numPr>
          <w:ilvl w:val="0"/>
          <w:numId w:val="2"/>
        </w:numPr>
        <w:spacing w:after="60"/>
      </w:pPr>
      <w:r>
        <w:rPr>
          <w:b/>
          <w:bCs/>
        </w:rPr>
        <w:t xml:space="preserve">Multi-currency: </w:t>
      </w:r>
      <w:r>
        <w:t xml:space="preserve">support the major retiree-origin currencies — USD, EUR, CAD, GBP, AUD, CHF — and remain extensible to others.</w:t>
      </w:r>
    </w:p>
    <w:p>
      <w:pPr>
        <w:pStyle w:val="ListParagraph"/>
        <w:numPr>
          <w:ilvl w:val="0"/>
          <w:numId w:val="2"/>
        </w:numPr>
        <w:spacing w:after="60"/>
      </w:pPr>
      <w:r>
        <w:rPr>
          <w:b/>
          <w:bCs/>
        </w:rPr>
        <w:t xml:space="preserve">COP base, live conversion: </w:t>
      </w:r>
      <w:r>
        <w:t xml:space="preserve">all prices are in COP; the tool converts on the fly to the chosen currency.</w:t>
      </w:r>
    </w:p>
    <w:p>
      <w:pPr>
        <w:pStyle w:val="ListParagraph"/>
        <w:numPr>
          <w:ilvl w:val="0"/>
          <w:numId w:val="2"/>
        </w:numPr>
        <w:spacing w:after="60"/>
      </w:pPr>
      <w:r>
        <w:rPr>
          <w:b/>
          <w:bCs/>
        </w:rPr>
        <w:t xml:space="preserve">Timestamp always shown: </w:t>
      </w:r>
      <w:r>
        <w:t xml:space="preserve">“Rate as of [date/time]” appears beside every conversion — never a silent number.</w:t>
      </w:r>
    </w:p>
    <w:p>
      <w:pPr>
        <w:pStyle w:val="ListParagraph"/>
        <w:numPr>
          <w:ilvl w:val="0"/>
          <w:numId w:val="2"/>
        </w:numPr>
        <w:spacing w:after="60"/>
      </w:pPr>
      <w:r>
        <w:rPr>
          <w:b/>
          <w:bCs/>
        </w:rPr>
        <w:t xml:space="preserve">Manual override: </w:t>
      </w:r>
      <w:r>
        <w:t xml:space="preserve">the user can type a rate if their bank quoted a better one — realistic for large transfers.</w:t>
      </w:r>
    </w:p>
    <w:p>
      <w:pPr>
        <w:spacing w:after="120"/>
      </w:pPr>
      <w:r>
        <w:t xml:space="preserve">Non-functional safeguards:</w:t>
      </w:r>
    </w:p>
    <w:p>
      <w:pPr>
        <w:pStyle w:val="ListParagraph"/>
        <w:numPr>
          <w:ilvl w:val="0"/>
          <w:numId w:val="2"/>
        </w:numPr>
        <w:spacing w:after="60"/>
      </w:pPr>
      <w:r>
        <w:rPr>
          <w:b/>
          <w:bCs/>
        </w:rPr>
        <w:t xml:space="preserve">Caching: </w:t>
      </w:r>
      <w:r>
        <w:t xml:space="preserve">reduces API calls and cost; rates refresh on a schedule, not on every keystroke.</w:t>
      </w:r>
    </w:p>
    <w:p>
      <w:pPr>
        <w:pStyle w:val="ListParagraph"/>
        <w:numPr>
          <w:ilvl w:val="0"/>
          <w:numId w:val="2"/>
        </w:numPr>
        <w:spacing w:after="60"/>
      </w:pPr>
      <w:r>
        <w:rPr>
          <w:b/>
          <w:bCs/>
        </w:rPr>
        <w:t xml:space="preserve">Graceful fallback: </w:t>
      </w:r>
      <w:r>
        <w:t xml:space="preserve">if the feed is unavailable, use the last cached rate and flag it (“Rate from [time] — may be stale”).</w:t>
      </w:r>
    </w:p>
    <w:p>
      <w:pPr>
        <w:pStyle w:val="ListParagraph"/>
        <w:numPr>
          <w:ilvl w:val="0"/>
          <w:numId w:val="2"/>
        </w:numPr>
        <w:spacing w:after="60"/>
      </w:pPr>
      <w:r>
        <w:rPr>
          <w:b/>
          <w:bCs/>
        </w:rPr>
        <w:t xml:space="preserve">Indicative, not transactional: </w:t>
      </w:r>
      <w:r>
        <w:t xml:space="preserve">a clear disclaimer states the rate is for estimation only; the actual cost depends on the rate and fees the bank or transfer service applies at the moment of payment. The simulator estimates; it does not quote a binding price. Stating this plainly protects both buyer and agency — and the honesty deepens trust.</w:t>
      </w:r>
    </w:p>
    <w:p>
      <w:pPr>
        <w:pStyle w:val="ListParagraph"/>
        <w:numPr>
          <w:ilvl w:val="0"/>
          <w:numId w:val="2"/>
        </w:numPr>
        <w:spacing w:after="60"/>
      </w:pPr>
      <w:r>
        <w:rPr>
          <w:b/>
          <w:bCs/>
        </w:rPr>
        <w:t xml:space="preserve">Accessibility: </w:t>
      </w:r>
      <w:r>
        <w:t xml:space="preserve">both currencies in large, high-contrast type, with the currency name spelled out, not just a symbol.</w:t>
      </w:r>
    </w:p>
    <w:p>
      <w:pPr>
        <w:pStyle w:val="Heading3"/>
      </w:pPr>
      <w:r>
        <w:t xml:space="preserve">6.1.2 Lenders &amp; Live Mortgage Rates (Requirement &amp; Options)</w:t>
      </w:r>
    </w:p>
    <w:p>
      <w:pPr>
        <w:spacing w:after="120"/>
      </w:pPr>
      <w:r>
        <w:t xml:space="preserve">When the buyer selects the mortgage path, the simulator should display financial entities, their current rates, and conditions, kept up to date, and feed the chosen lender’s rate back into the monthly-payment calculation. The challenge is not the code; it is data availability — Colombian mortgage rates for foreigners do not live in a single clean public API the way currency rates do. The recommended approach is therefore a layered hybrid, with honest disclosure of how current each figure is. Four sourcing options were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360"/>
        <w:gridCol w:w="1400"/>
      </w:tblGrid>
      <w:tr>
        <w:trPr>
          <w:tblHeader/>
        </w:trPr>
        <w:tc>
          <w:tcPr>
            <w:tcW w:type="dxa" w:w="16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Option</w:t>
            </w:r>
          </w:p>
        </w:tc>
        <w:tc>
          <w:tcPr>
            <w:tcW w:type="dxa" w:w="30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How it works</w:t>
            </w:r>
          </w:p>
        </w:tc>
        <w:tc>
          <w:tcPr>
            <w:tcW w:type="dxa" w:w="33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Trade-off</w:t>
            </w:r>
          </w:p>
        </w:tc>
        <w:tc>
          <w:tcPr>
            <w:tcW w:type="dxa" w:w="14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Role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Curated table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Staff update a rate table periodically from public bank pages (bank, rate, conditions, 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 cost, full control, accurate conditions; but “real time” is only as fresh as the last manual update, and effort grows with the number of banks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MVP and universal fallback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Official open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Pull published average rates from the Superintendencia Financiera / Banco de la República datasets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Authoritative, free, auto-updatable; but averages (not per-bank offers) refreshed weekly/monthly, not intraday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Trustworthy baseline / benchmark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Partner / affiliate feeds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Agreements with select lenders or a broker provide a live API or daily file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Truly current, per-bank, foreigner-specific; can be a revenue stream; but needs business + legal deals and only covers partner banks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Premium, monetizable live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Scraping bank sites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Scripts read rates off public pages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Broad coverage with no deals; but fragile, breaks on layout changes, may violate terms of service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recommended as a dependency</w:t>
            </w:r>
          </w:p>
        </w:tc>
      </w:tr>
    </w:tbl>
    <w:p>
      <w:pPr>
        <w:spacing w:after="120"/>
      </w:pPr>
      <w:r>
        <w:rPr>
          <w:b/>
          <w:bCs/>
        </w:rPr>
        <w:t xml:space="preserve">Recommendation: </w:t>
      </w:r>
      <w:r>
        <w:t xml:space="preserve">a layered hybrid — regulator averages (Option 2) as an honest baseline, partner feeds (Option 3) for real per-bank offers where agreements exist, and a curated table (Option 1) for banks without a feed and as the fallback whenever any source is down. Avoid scraping (Option 4) as a dependency. The UI tags every rate with a freshness badge — LIVE (partner feed, today), OFFICIAL DATA (regulator), or CURATED (staff-checked) — plus its source and date.</w:t>
      </w:r>
    </w:p>
    <w:p>
      <w:pPr>
        <w:spacing w:after="120"/>
      </w:pPr>
      <w:r>
        <w:t xml:space="preserve">Non-negotiable trust rules apply to every option: each rate shows its source and “updated [date]”; a clear “indicative, not an offer” disclaimer states that only the lender can quote a binding rate after reviewing the buyer’s case; paid-partner banks are openly flagged; and conditions are shown alongside the number (term, down-payment %, foreigner eligibility), not just the rate. Picking a lender feeds its rate directly into the payment calculation, and a financing specialist is one tap away to compare options with the buyer. Honesty about data freshness is treated as a feature, not a limitation.</w:t>
      </w:r>
    </w:p>
    <w:p>
      <w:pPr>
        <w:pStyle w:val="Heading3"/>
      </w:pPr>
      <w:r>
        <w:t xml:space="preserve">6.1.3 Regulatory Basis — Colombia’s Mandatory Open Finance</w:t>
      </w:r>
    </w:p>
    <w:p>
      <w:pPr>
        <w:spacing w:after="120"/>
      </w:pPr>
      <w:r>
        <w:t xml:space="preserve">The viability of live, per-bank rate data rests on Colombia’s shift to mandatory open finance, which turns access to standardized financial data from a hard-won commercial arrangement into a regulated right. The implementation of the live-rates layer should be planned around — and justified by — this regulatory timeline. Key instruments:</w:t>
      </w:r>
    </w:p>
    <w:p>
      <w:pPr>
        <w:pStyle w:val="ListParagraph"/>
        <w:numPr>
          <w:ilvl w:val="0"/>
          <w:numId w:val="2"/>
        </w:numPr>
        <w:spacing w:after="60"/>
      </w:pPr>
      <w:r>
        <w:rPr>
          <w:b/>
          <w:bCs/>
        </w:rPr>
        <w:t xml:space="preserve">Decree 0368 of 2026 (signed April 7, 2026): </w:t>
      </w:r>
      <w:r>
        <w:t xml:space="preserve">makes the Open Finance System mandatory for all entities supervised by the Superintendencia Financiera de Colombia (SFC), moving from a voluntary to a regulated model.</w:t>
      </w:r>
    </w:p>
    <w:p>
      <w:pPr>
        <w:pStyle w:val="ListParagraph"/>
        <w:numPr>
          <w:ilvl w:val="0"/>
          <w:numId w:val="2"/>
        </w:numPr>
        <w:spacing w:after="60"/>
      </w:pPr>
      <w:r>
        <w:rPr>
          <w:b/>
          <w:bCs/>
        </w:rPr>
        <w:t xml:space="preserve">Decree 1297 of 2022: </w:t>
      </w:r>
      <w:r>
        <w:t xml:space="preserve">the foundational regulation of open finance and financial portability.</w:t>
      </w:r>
    </w:p>
    <w:p>
      <w:pPr>
        <w:pStyle w:val="ListParagraph"/>
        <w:numPr>
          <w:ilvl w:val="0"/>
          <w:numId w:val="2"/>
        </w:numPr>
        <w:spacing w:after="60"/>
      </w:pPr>
      <w:r>
        <w:rPr>
          <w:b/>
          <w:bCs/>
        </w:rPr>
        <w:t xml:space="preserve">SFC Circular Externa 004 of 2024: </w:t>
      </w:r>
      <w:r>
        <w:t xml:space="preserve">establishes the technical standards for deploying open finance.</w:t>
      </w:r>
    </w:p>
    <w:p>
      <w:pPr>
        <w:pStyle w:val="ListParagraph"/>
        <w:numPr>
          <w:ilvl w:val="0"/>
          <w:numId w:val="2"/>
        </w:numPr>
        <w:spacing w:after="60"/>
      </w:pPr>
      <w:r>
        <w:rPr>
          <w:b/>
          <w:bCs/>
        </w:rPr>
        <w:t xml:space="preserve">Participant Directory: </w:t>
      </w:r>
      <w:r>
        <w:t xml:space="preserve">administered by the SFC, it identifies Data Providers and Data Recipients — the channel through which a platform like InmobiliariaVG can become an authorized data recipient.</w:t>
      </w:r>
    </w:p>
    <w:p>
      <w:pPr>
        <w:pStyle w:val="ListParagraph"/>
        <w:numPr>
          <w:ilvl w:val="0"/>
          <w:numId w:val="2"/>
        </w:numPr>
        <w:spacing w:after="60"/>
      </w:pPr>
      <w:r>
        <w:rPr>
          <w:b/>
          <w:bCs/>
        </w:rPr>
        <w:t xml:space="preserve">Implementation window: </w:t>
      </w:r>
      <w:r>
        <w:t xml:space="preserve">the SFC publishes a schedule within six months of the decree taking effect; obligated entities must enable access to defined data and services within twelve months (extendable by up to six).</w:t>
      </w:r>
    </w:p>
    <w:p>
      <w:pPr>
        <w:spacing w:after="120"/>
      </w:pPr>
      <w:r>
        <w:rPr>
          <w:b/>
          <w:bCs/>
        </w:rPr>
        <w:t xml:space="preserve">Strategic implication: </w:t>
      </w:r>
      <w:r>
        <w:t xml:space="preserve">under the founding principle that financial data belongs to the user (not the bank), a retiree can authorize InmobiliariaVG to access standardized rate and product data on their behalf. This converts Option 3 (partner/affiliate feeds) from a series of bespoke deals into a standards-based right of access, and strengthens Option 2 (official/open data) as the authoritative baseline. The live-rates feature is therefore phased to follow the open-finance rollout: launch on curated + regulator-average data now, then progressively connect to standardized open-finance data sources as obligated entities come online within the regulatory window.</w:t>
      </w:r>
    </w:p>
    <w:p>
      <w:pPr>
        <w:spacing w:after="120"/>
      </w:pPr>
      <w:r>
        <w:t xml:space="preserve">The same logic underpins the platform’s broader data strategy: Colombia’s open-data policy (transparency and access-to-information law, and the datos.gov.co ecosystem) provides the public datasets that feed the map’s safety, estrato, and socio-economic layers, while mandatory open finance provides the financial datasets that feed the rate comparison. Both are explicitly framed as regulated, verifiable sources — reinforcing the platform’s transparency-equals-trust principle.</w:t>
      </w:r>
    </w:p>
    <w:p>
      <w:pPr>
        <w:pStyle w:val="Heading2"/>
      </w:pPr>
      <w:r>
        <w:t xml:space="preserve">6.2 Step 4 — Contact &amp; Negotiate with a Sales Specialist</w:t>
      </w:r>
    </w:p>
    <w:p>
      <w:pPr>
        <w:spacing w:after="120"/>
      </w:pPr>
      <w:r>
        <w:t xml:space="preserve">A named, real human with a face, languages, experience and reviews takes over — the moment anxiety drops and trust forms. One scheduling hub offers a live video tour or chat/WhatsApp, in the buyer’s own timezone. The saved quote terms appear in the specialist’s hands automatically, so the conversation opens without friction.</w:t>
      </w:r>
    </w:p>
    <w:p>
      <w:pPr>
        <w:spacing w:after="120"/>
      </w:pPr>
      <w:r>
        <w:rPr>
          <w:b/>
          <w:bCs/>
        </w:rPr>
        <w:t xml:space="preserve">Seller side — the agent CRM. </w:t>
      </w:r>
      <w:r>
        <w:t xml:space="preserve">This buyer step is mirrored by an internal back-office where the sales agent works: a leads pipeline, a lead-detail view combining the buyer’s auto-attached context (property, locked quote, lifestyle filters, match score) with integrated communication (chat/WhatsApp, video, scheduling), inventory management, reports, and handoff to specialists. The CRM and the buyer platform share one data system — a lead arriving with context, and a published listing surfacing in the buyer map, are the same records seen from the other side. The CRM is minimalist and traditional by design (dense, fast, keyboard-friendly), the opposite of the warm buyer app. It is specified in full in the companion document, </w:t>
      </w:r>
    </w:p>
    <w:p>
      <w:pPr>
        <w:spacing w:after="120"/>
      </w:pPr>
      <w:r>
        <w:rPr>
          <w:i/>
          <w:iCs/>
        </w:rPr>
        <w:t xml:space="preserve">“InmobiliariaVG — Sales-Agent CRM: Frontend Specification &amp; Implementation Guide.”</w:t>
      </w:r>
    </w:p>
    <w:p>
      <w:pPr>
        <w:pStyle w:val="Heading2"/>
      </w:pPr>
      <w:r>
        <w:t xml:space="preserve">6.3 Step 6 — Secure Documents &amp; Promise-to-Buy Signature</w:t>
      </w:r>
    </w:p>
    <w:p>
      <w:pPr>
        <w:spacing w:after="120"/>
      </w:pPr>
      <w:r>
        <w:t xml:space="preserve">The first binding commitment, designed to reduce fear at the scariest click. A plain-English summary comes first, legalese second; a voice-summary option serves those who prefer to listen. Refundability is stated up front, not buried. A verified-ID e-signature, valid cross-border, carries a visible lock and “legally binding” reassurance. “Ask a question” sits beside “Sign,” so the user is never trapped. Signing ends pure e-commerce and opens the concierge.</w:t>
      </w:r>
    </w:p>
    <w:p>
      <w:pPr>
        <w:pStyle w:val="Heading3"/>
      </w:pPr>
      <w:r>
        <w:t xml:space="preserve">6.3.1 Architecture — Integration with the Document Factory</w:t>
      </w:r>
    </w:p>
    <w:p>
      <w:pPr>
        <w:spacing w:after="120"/>
      </w:pPr>
      <w:r>
        <w:t xml:space="preserve">InmobiliariaVG does not generate legal documents itself. Document generation, templating, clause/jurisdiction logic, and the signing service live in a separate dedicated project — the “Document Factory” — which this step consumes via API/webhook. The role of Step 6 in this platform is therefore a thin, minimalist presentation layer: collect the contract data, send it to the factory, wait for the generated document, and present it for review and signature.</w:t>
      </w:r>
    </w:p>
    <w:p>
      <w:pPr>
        <w:spacing w:after="120"/>
      </w:pPr>
      <w:r>
        <w:rPr>
          <w:b/>
          <w:bCs/>
        </w:rPr>
        <w:t xml:space="preserve">Flow: </w:t>
      </w:r>
      <w:r>
        <w:t xml:space="preserve">(1) a step-by-step wizard collects contract data (parties, property, terms, clauses), pre-filled from the buyer’s saved quote; (2) on confirmation, a structured JSON payload is POSTed to the factory; (3) a friendly waiting state (“Preparing your document…”) shows honest progress, not a frozen spinner; (4) the factory generates the legal document; (5) it returns the document (via webhook/callback) with status and PDF; (6) the buyer reviews it (plain-English summary + full PDF + voice option) and signs with a verified-ID e-signature handled by the factory’s signing service. The signed copy and audit trail are stored back into the buyer’s Drive case folder and the CRM timeline automatically.</w:t>
      </w:r>
    </w:p>
    <w:p>
      <w:pPr>
        <w:spacing w:after="120"/>
      </w:pPr>
      <w:r>
        <w:t xml:space="preserve">Integration contract expected from the factory: POST /documents (send contract data, receive a job id); a webhook or GET /documents/:id (receive status + generated PDF); and a signature endpoint (initiate and track e-signature, receive the signed copy + audit trail). Document states are queued → generating → ready → signed / failed, each with its own UI state. The UI stays deliberately minimal; the heavy legal logic remains in the factory, keeping the two systems cleanly decoupled.</w:t>
      </w:r>
    </w:p>
    <w:p>
      <w:r>
        <w:br w:type="page"/>
      </w:r>
    </w:p>
    <w:p>
      <w:pPr>
        <w:pStyle w:val="Heading1"/>
      </w:pPr>
      <w:r>
        <w:t xml:space="preserve">7. Phase III — Legal, Financial &amp; Migration Concierge</w:t>
      </w:r>
    </w:p>
    <w:p>
      <w:pPr>
        <w:spacing w:after="120"/>
      </w:pPr>
      <w:r>
        <w:t xml:space="preserve">The consultancy core. A single concierge dashboard replaces bureaucratic chaos with one calm overview: a finite list of steps, visible progress, and a named specialist per track. Bureaucracy feels endless; this shows the user that it is finite and handled.</w:t>
      </w:r>
    </w:p>
    <w:p>
      <w:pPr>
        <w:pStyle w:val="Heading2"/>
      </w:pPr>
      <w:r>
        <w:t xml:space="preserve">7.1 Concierge Dashboard</w:t>
      </w:r>
    </w:p>
    <w:p>
      <w:pPr>
        <w:spacing w:after="120"/>
      </w:pPr>
      <w:r>
        <w:t xml:space="preserve">Three specialist tracks run in parallel, color-coded by status (done / in progress / up next) for at-a-glance reading. The dashboard is the shared memory that makes the team-by-specialty model work — every specialist sees the same file, so the buyer never re-explains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Track</w:t>
            </w:r>
          </w:p>
        </w:tc>
        <w:tc>
          <w:tcPr>
            <w:tcW w:type="dxa" w:w="24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Specialist</w:t>
            </w:r>
          </w:p>
        </w:tc>
        <w:tc>
          <w:tcPr>
            <w:tcW w:type="dxa" w:w="45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Key tasks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 Financing &amp; Payment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Finance &amp; compliance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Source-of-funds verification, wire instructions, AML/KYC check, funds held in escrow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 Legal &amp; Visa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Real-estate attorney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Title study (estudio de títulos), final deed (escritura), retirement/investor visa, property registration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 Holistic Advisory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Premium advisory team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Tax planning (avoid double taxation), healthcare onboarding &amp; insurance, family relocation logistics, wealth management</w:t>
            </w:r>
          </w:p>
        </w:tc>
      </w:tr>
    </w:tbl>
    <w:p>
      <w:pPr>
        <w:pStyle w:val="Heading2"/>
      </w:pPr>
      <w:r>
        <w:t xml:space="preserve">7.2 Inside a Specialist Track</w:t>
      </w:r>
    </w:p>
    <w:p>
      <w:pPr>
        <w:spacing w:after="120"/>
      </w:pPr>
      <w:r>
        <w:t xml:space="preserve">Each track is a guided, conversational workspace: a vertical progress timeline on one side and the specialist chat on the other. Action items appear as clear tasks (“upload one ID document”), every legal term is translated in-line (a friendly “what is escrow?” explainer sits beside it), and finishing one track automatically notifies the next specialist. The scariest, most jargon-heavy part of the journey becomes a friendly chat where a named expert never lets the buyer feel lost.</w:t>
      </w:r>
    </w:p>
    <w:p>
      <w:r>
        <w:br w:type="page"/>
      </w:r>
    </w:p>
    <w:p>
      <w:pPr>
        <w:pStyle w:val="Heading1"/>
      </w:pPr>
      <w:r>
        <w:t xml:space="preserve">8. Phase IV — Closing, Relocation &amp; Integration</w:t>
      </w:r>
    </w:p>
    <w:p>
      <w:pPr>
        <w:pStyle w:val="Heading2"/>
      </w:pPr>
      <w:r>
        <w:t xml:space="preserve">8.1 Steps 10 &amp; 11 — Closing, Relocation &amp; Arrival</w:t>
      </w:r>
    </w:p>
    <w:p>
      <w:pPr>
        <w:spacing w:after="120"/>
      </w:pPr>
      <w:r>
        <w:t xml:space="preserve">The deal is done; now logistics and a warm landing. A closing-and-moving timeline tracks the final deed, key handover (in person or via concierge), international shipping (door-to-door, customs handled), and utility hookups completed before arrival. On arrival, space-adaptation services make the home truly theirs and senior-friendly: interior design before they land, senior smart-home setup (voice controls, fall sensors, easy lighting/security), utility registration, and healthcare onboarding. The buyer walks into a furnished, connected, safe home — not an empty shell abroad. Senior-specific adaptation is the Age-Tech differentiator competitors miss.</w:t>
      </w:r>
    </w:p>
    <w:p>
      <w:pPr>
        <w:pStyle w:val="Heading2"/>
      </w:pPr>
      <w:r>
        <w:t xml:space="preserve">8.2 Step 12 — Long-Term Support &amp; Community</w:t>
      </w:r>
    </w:p>
    <w:p>
      <w:pPr>
        <w:spacing w:after="120"/>
      </w:pPr>
      <w:r>
        <w:t xml:space="preserve">The journey does not end at the sale; this becomes the buyer’s ongoing home dashboard. An ongoing concierge is a single point of contact for anything. Optional property management handles tenants, cleaning, maintenance, and income reports for owners who rent out part of the year (recurring revenue, not a one-off sale). A community hub surfaces local events and other expat retirees nearby — fighting isolation, the deepest fear of relocating later in life.</w:t>
      </w:r>
    </w:p>
    <w:p>
      <w:pPr>
        <w:spacing w:after="120"/>
      </w:pPr>
      <w:r>
        <w:rPr>
          <w:b/>
          <w:bCs/>
        </w:rPr>
        <w:t xml:space="preserve">Business value: </w:t>
      </w:r>
      <w:r>
        <w:t xml:space="preserve">recurring revenue (management + premium concierge), referrals (a connected retiree invites friends), and retention. Belonging is the real product — the home was the purchase; the peaceful, connected life is what they bought.</w:t>
      </w:r>
    </w:p>
    <w:p>
      <w:r>
        <w:br w:type="page"/>
      </w:r>
    </w:p>
    <w:p>
      <w:pPr>
        <w:pStyle w:val="Heading1"/>
      </w:pPr>
      <w:r>
        <w:t xml:space="preserve">9. Cross-Cutting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Principle</w:t>
            </w:r>
          </w:p>
        </w:tc>
        <w:tc>
          <w:tcPr>
            <w:tcW w:type="dxa" w:w="67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How it shows up across all screens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Trust over trend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 transparency and simplicity always beat fashionable design fads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Always an exit to a human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“Talk to a Human / Get Help” is present on every screen, every phase — even after closing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Context travels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Quote terms and case files flow forward between e-commerce and every specialist; no repeating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dead ends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modes/tabs hide; soft exits (download, ask, save) sit beside every commitment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Plain English first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Legal &amp; financial jargon is translated in-line; voice summaries for those who prefer to listen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Accessible by default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Adjustable fonts, high contrast, 48px targets, reduced-motion fallbacks throughout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Best-available immersion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ficha auto-selects the richest experience each property can offer</w:t>
            </w:r>
          </w:p>
        </w:tc>
      </w:tr>
    </w:tbl>
    <w:p>
      <w:pPr>
        <w:spacing w:after="120"/>
      </w:pPr>
      <w:r>
        <w:t xml:space="preserve"/>
      </w:r>
    </w:p>
    <w:p>
      <w:pPr>
        <w:spacing w:after="120"/>
      </w:pPr>
      <w:r>
        <w:t xml:space="preserve">This specification consolidates the visual prototypes for all four phases and twelve stages into a single reference for the product and development team. The accompanying screen mockups (home, navigable map, property ficha, fullscreen immersion, quotation, specialist contact, promise signature, concierge dashboard, specialist tracks, closing/arrival, and community) illustrate each section.</w:t>
      </w:r>
    </w:p>
    <w:p>
      <w:r>
        <w:br w:type="page"/>
      </w:r>
    </w:p>
    <w:p>
      <w:pPr>
        <w:pStyle w:val="Heading1"/>
      </w:pPr>
      <w:r>
        <w:t xml:space="preserve">10. Technology Stack</w:t>
      </w:r>
    </w:p>
    <w:p>
      <w:pPr>
        <w:spacing w:after="120"/>
      </w:pPr>
      <w:r>
        <w:t xml:space="preserve">A pragmatic, modern stack chosen for trust, accessibility, and a phased rollout: TypeScript end to end, immersive WebGL, real-time data, and clean integrations with external services. Recommendations, not mandates — the guiding constraints are type safety, accessibility, and decoupled integrations.</w:t>
      </w:r>
    </w:p>
    <w:p>
      <w:pPr>
        <w:pStyle w:val="Heading2"/>
      </w:pPr>
      <w:r>
        <w:t xml:space="preserve">10.1 Buyer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Concern</w:t>
            </w:r>
          </w:p>
        </w:tc>
        <w:tc>
          <w:tcPr>
            <w:tcW w:type="dxa" w:w="63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Choice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 TypeScript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Meta / SSR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Styling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Tailwind CSS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3D / immersive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React-Three-Fiber / Three.js (WebGL)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MVP 3D tours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Matterport / Kuula embed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Mapbox or Google Maps + data layers</w:t>
            </w:r>
          </w:p>
        </w:tc>
      </w:tr>
    </w:tbl>
    <w:p>
      <w:pPr>
        <w:pStyle w:val="Heading2"/>
      </w:pPr>
      <w:r>
        <w:t xml:space="preserve">10.2 Sales-Agent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Concern</w:t>
            </w:r>
          </w:p>
        </w:tc>
        <w:tc>
          <w:tcPr>
            <w:tcW w:type="dxa" w:w="63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Choice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 TypeScript (Vite)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Server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TanStack Query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tables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TanStack 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Kanban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dnd-kit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Recharts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WebSocket / Pusher / Ably</w:t>
            </w:r>
          </w:p>
        </w:tc>
      </w:tr>
    </w:tbl>
    <w:p>
      <w:pPr>
        <w:pStyle w:val="Heading2"/>
      </w:pPr>
      <w:r>
        <w:t xml:space="preserve">10.3 Data, Integrations &amp;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Area</w:t>
            </w:r>
          </w:p>
        </w:tc>
        <w:tc>
          <w:tcPr>
            <w:tcW w:type="dxa" w:w="67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Choice / Source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Productivity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Workspace — Calendar, Meet, Gmail, Drive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Documents &amp; signing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Factory (separate project, via API/webhook)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exchange-rate API (real-time, multi-currency)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Lender rates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 Finance — Decree 0368/2026 (mandatory)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datos.gov.co · DANE · OpenStreetMap / Places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Messaging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WhatsApp Business API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Media pipeline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Draco compression · HLS video · CDN delivery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&amp; roles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OAuth 2.0 (Workspace) · RBAC with server-enforced scopes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Vitest · React Testing Library · Playwright · WCAG AA</w:t>
            </w:r>
          </w:p>
        </w:tc>
      </w:tr>
    </w:tbl>
    <w:p>
      <w:r>
        <w:br w:type="page"/>
      </w:r>
    </w:p>
    <w:p>
      <w:pPr>
        <w:pStyle w:val="Heading1"/>
      </w:pPr>
      <w:r>
        <w:t xml:space="preserve">11. Implementation Roadmap</w:t>
      </w:r>
    </w:p>
    <w:p>
      <w:pPr>
        <w:spacing w:after="120"/>
      </w:pPr>
      <w:r>
        <w:t xml:space="preserve">MVP-first and de-risked: validate demand with a lean immersive marketplace, then layer the consultancy, the CRM, and deeper integrations as they mature — some paced to the open-finance regulatory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4400"/>
        <w:gridCol w:w="1760"/>
      </w:tblGrid>
      <w:tr>
        <w:trPr>
          <w:tblHeader/>
        </w:trPr>
        <w:tc>
          <w:tcPr>
            <w:tcW w:type="dxa" w:w="15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Phase</w:t>
            </w:r>
          </w:p>
        </w:tc>
        <w:tc>
          <w:tcPr>
            <w:tcW w:type="dxa" w:w="17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Focus</w:t>
            </w:r>
          </w:p>
        </w:tc>
        <w:tc>
          <w:tcPr>
            <w:tcW w:type="dxa" w:w="44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Scope</w:t>
            </w:r>
          </w:p>
        </w:tc>
        <w:tc>
          <w:tcPr>
            <w:tcW w:type="dxa" w:w="17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Key tech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 MVP (8–12 wks)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Immersive marketplace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 navigable map with first layers, ficha with embedded 360° + hotspots, lifestyle search, save &amp; compare, transparent quote simulator with dual currency, accessibility baseline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Next.js · Matterport/Kuula · Maps · FX API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 Accompanied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Conversion &amp; CRM core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Opt-in conversion gate, specialist scheduling (video/chat), CRM core (pipeline, lead detail + comms), Google Workspace integration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CRM · Workspace · WhatsApp · realtime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 Consultancy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Signing &amp; concierge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 wizard + Document Factory, concierge dashboard (finance/legal/visa/advisory), specialist roles &amp; handoffs, lender rates on curated + regulator baseline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Factory · RBAC · open 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Differentiate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 3D &amp; relocation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 WebGL viewer for pre-sale .glb models; closing/relocation/arrival services; long-term concierge, property management &amp; community; connect to standardized open-finance data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R3F · property mgmt · open finance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 Moat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Intelligent immersion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Finish/furniture configurator, sun-path simulation, optional VR, AI guide answering lifestyle questions in plain English — built only after earlier phases prove value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Configurator · AI guide · VR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66" w:sz="4" w:space="4"/>
      </w:pBdr>
      <w:jc w:val="right"/>
    </w:pPr>
    <w:r>
      <w:rPr>
        <w:color w:val="555555"/>
        <w:sz w:val="16"/>
        <w:szCs w:val="16"/>
      </w:rPr>
      <w:t xml:space="preserve">InmobiliariaVG — UX/UI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E7C66"/>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40"/>
      <w:outlineLvl w:val="2"/>
    </w:pPr>
    <w:rPr>
      <w:rFonts w:ascii="Arial" w:cs="Arial" w:eastAsia="Arial" w:hAnsi="Arial"/>
      <w:b/>
      <w:bCs/>
      <w:color w:val="1D6FB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2026-06-09T20:43:40.190Z</dcterms:created>
  <dcterms:modified xsi:type="dcterms:W3CDTF">2026-06-09T20:43:40.190Z</dcterms:modified>
</cp:coreProperties>
</file>

<file path=docProps/custom.xml><?xml version="1.0" encoding="utf-8"?>
<Properties xmlns="http://schemas.openxmlformats.org/officeDocument/2006/custom-properties" xmlns:vt="http://schemas.openxmlformats.org/officeDocument/2006/docPropsVTypes"/>
</file>