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E50A8A" w14:textId="27F48C70" w:rsidR="00951F3D" w:rsidRPr="00DE0B74" w:rsidRDefault="00951F3D" w:rsidP="000377ED">
      <w:pPr>
        <w:rPr>
          <w:lang w:val="de-DE"/>
        </w:rPr>
      </w:pPr>
      <w:r w:rsidRPr="00DE0B74">
        <w:rPr>
          <w:lang w:val="de-DE"/>
        </w:rPr>
        <w:t>Das Untersuchungsgebiet</w:t>
      </w:r>
    </w:p>
    <w:p w14:paraId="6BBC7981" w14:textId="627D6202" w:rsidR="00951F3D" w:rsidRPr="00DE0B74" w:rsidRDefault="00951F3D" w:rsidP="000377ED">
      <w:pPr>
        <w:rPr>
          <w:lang w:val="de-DE"/>
        </w:rPr>
      </w:pPr>
      <w:r w:rsidRPr="00DE0B74">
        <w:rPr>
          <w:lang w:val="de-DE"/>
        </w:rPr>
        <w:t xml:space="preserve">Die Vu Gia und Thu Bon Flusseinzugsgebiete (VGTB) in Zentral Vietnam bilden das Untersuchungsgebiet, welches etwa </w:t>
      </w:r>
      <w:r w:rsidR="00E05D85" w:rsidRPr="00DE0B74">
        <w:rPr>
          <w:lang w:val="de-DE"/>
        </w:rPr>
        <w:t xml:space="preserve">10‘500 </w:t>
      </w:r>
      <w:r w:rsidRPr="00DE0B74">
        <w:rPr>
          <w:lang w:val="de-DE"/>
        </w:rPr>
        <w:t>Km</w:t>
      </w:r>
      <w:r w:rsidRPr="00DE0B74">
        <w:rPr>
          <w:vertAlign w:val="superscript"/>
          <w:lang w:val="de-DE"/>
        </w:rPr>
        <w:t xml:space="preserve">2 </w:t>
      </w:r>
      <w:r w:rsidRPr="00DE0B74">
        <w:rPr>
          <w:lang w:val="de-DE"/>
        </w:rPr>
        <w:t>umspannt</w:t>
      </w:r>
      <w:r w:rsidR="00E05D85" w:rsidRPr="00DE0B74">
        <w:rPr>
          <w:lang w:val="de-DE"/>
        </w:rPr>
        <w:t>, zusätzlich wurden zwar nicht im VGTB Einzugsgebiet enthaltene aber wirtschaftlich</w:t>
      </w:r>
      <w:r w:rsidR="00B4295B" w:rsidRPr="00DE0B74">
        <w:rPr>
          <w:lang w:val="de-DE"/>
        </w:rPr>
        <w:t xml:space="preserve"> und </w:t>
      </w:r>
      <w:proofErr w:type="spellStart"/>
      <w:r w:rsidR="00B4295B" w:rsidRPr="00DE0B74">
        <w:rPr>
          <w:lang w:val="de-DE"/>
        </w:rPr>
        <w:t>agrikulturell</w:t>
      </w:r>
      <w:proofErr w:type="spellEnd"/>
      <w:r w:rsidR="00E05D85" w:rsidRPr="00DE0B74">
        <w:rPr>
          <w:lang w:val="de-DE"/>
        </w:rPr>
        <w:t xml:space="preserve"> wichtige angrenzende Städte wie Da </w:t>
      </w:r>
      <w:proofErr w:type="spellStart"/>
      <w:r w:rsidR="00E05D85" w:rsidRPr="00DE0B74">
        <w:rPr>
          <w:lang w:val="de-DE"/>
        </w:rPr>
        <w:t>Nang</w:t>
      </w:r>
      <w:proofErr w:type="spellEnd"/>
      <w:r w:rsidR="00E05D85" w:rsidRPr="00DE0B74">
        <w:rPr>
          <w:lang w:val="de-DE"/>
        </w:rPr>
        <w:t xml:space="preserve"> </w:t>
      </w:r>
      <w:r w:rsidR="0086195E" w:rsidRPr="00DE0B74">
        <w:rPr>
          <w:lang w:val="de-DE"/>
        </w:rPr>
        <w:t xml:space="preserve">sowie der südöstliche Teil von </w:t>
      </w:r>
      <w:proofErr w:type="spellStart"/>
      <w:r w:rsidR="0086195E" w:rsidRPr="00DE0B74">
        <w:rPr>
          <w:lang w:val="de-DE"/>
        </w:rPr>
        <w:t>Quang</w:t>
      </w:r>
      <w:proofErr w:type="spellEnd"/>
      <w:r w:rsidR="0086195E" w:rsidRPr="00DE0B74">
        <w:rPr>
          <w:lang w:val="de-DE"/>
        </w:rPr>
        <w:t xml:space="preserve"> </w:t>
      </w:r>
      <w:proofErr w:type="spellStart"/>
      <w:r w:rsidR="0086195E" w:rsidRPr="00DE0B74">
        <w:rPr>
          <w:lang w:val="de-DE"/>
        </w:rPr>
        <w:t>Ngai</w:t>
      </w:r>
      <w:proofErr w:type="spellEnd"/>
      <w:r w:rsidR="0086195E" w:rsidRPr="00DE0B74">
        <w:rPr>
          <w:lang w:val="de-DE"/>
        </w:rPr>
        <w:t xml:space="preserve"> </w:t>
      </w:r>
      <w:r w:rsidR="00E05D85" w:rsidRPr="00DE0B74">
        <w:rPr>
          <w:lang w:val="de-DE"/>
        </w:rPr>
        <w:t xml:space="preserve">eingeschlossen. </w:t>
      </w:r>
      <w:r w:rsidR="0086195E" w:rsidRPr="00DE0B74">
        <w:rPr>
          <w:lang w:val="de-DE"/>
        </w:rPr>
        <w:t>Das Untersuchungsgebiet</w:t>
      </w:r>
      <w:r w:rsidRPr="00DE0B74">
        <w:rPr>
          <w:lang w:val="de-DE"/>
        </w:rPr>
        <w:t xml:space="preserve"> beinhaltet die beiden Provinzen </w:t>
      </w:r>
      <w:proofErr w:type="spellStart"/>
      <w:r w:rsidRPr="00DE0B74">
        <w:rPr>
          <w:lang w:val="de-DE"/>
        </w:rPr>
        <w:t>Quang</w:t>
      </w:r>
      <w:proofErr w:type="spellEnd"/>
      <w:r w:rsidRPr="00DE0B74">
        <w:rPr>
          <w:lang w:val="de-DE"/>
        </w:rPr>
        <w:t xml:space="preserve"> Nam und Da </w:t>
      </w:r>
      <w:proofErr w:type="spellStart"/>
      <w:r w:rsidRPr="00DE0B74">
        <w:rPr>
          <w:lang w:val="de-DE"/>
        </w:rPr>
        <w:t>Nang</w:t>
      </w:r>
      <w:proofErr w:type="spellEnd"/>
      <w:r w:rsidRPr="00DE0B74">
        <w:rPr>
          <w:lang w:val="de-DE"/>
        </w:rPr>
        <w:t xml:space="preserve"> sowie kleine </w:t>
      </w:r>
      <w:r w:rsidR="00B4295B" w:rsidRPr="00DE0B74">
        <w:rPr>
          <w:lang w:val="de-DE"/>
        </w:rPr>
        <w:t>T</w:t>
      </w:r>
      <w:r w:rsidRPr="00DE0B74">
        <w:rPr>
          <w:lang w:val="de-DE"/>
        </w:rPr>
        <w:t>eile</w:t>
      </w:r>
      <w:r w:rsidR="00B4295B" w:rsidRPr="00DE0B74">
        <w:rPr>
          <w:lang w:val="de-DE"/>
        </w:rPr>
        <w:t xml:space="preserve"> der</w:t>
      </w:r>
      <w:r w:rsidRPr="00DE0B74">
        <w:rPr>
          <w:lang w:val="de-DE"/>
        </w:rPr>
        <w:t xml:space="preserve"> angrenzende</w:t>
      </w:r>
      <w:r w:rsidR="00B4295B" w:rsidRPr="00DE0B74">
        <w:rPr>
          <w:lang w:val="de-DE"/>
        </w:rPr>
        <w:t>n</w:t>
      </w:r>
      <w:r w:rsidRPr="00DE0B74">
        <w:rPr>
          <w:lang w:val="de-DE"/>
        </w:rPr>
        <w:t xml:space="preserve"> Provinzen</w:t>
      </w:r>
      <w:r w:rsidR="00B4295B" w:rsidRPr="00DE0B74">
        <w:rPr>
          <w:lang w:val="de-DE"/>
        </w:rPr>
        <w:t xml:space="preserve"> Kon </w:t>
      </w:r>
      <w:proofErr w:type="spellStart"/>
      <w:r w:rsidR="00B4295B" w:rsidRPr="00DE0B74">
        <w:rPr>
          <w:lang w:val="de-DE"/>
        </w:rPr>
        <w:t>Tum</w:t>
      </w:r>
      <w:proofErr w:type="spellEnd"/>
      <w:r w:rsidR="00B4295B" w:rsidRPr="00DE0B74">
        <w:rPr>
          <w:lang w:val="de-DE"/>
        </w:rPr>
        <w:t xml:space="preserve"> und </w:t>
      </w:r>
      <w:proofErr w:type="spellStart"/>
      <w:r w:rsidR="00B4295B" w:rsidRPr="00DE0B74">
        <w:rPr>
          <w:lang w:val="de-DE"/>
        </w:rPr>
        <w:t>Quang</w:t>
      </w:r>
      <w:proofErr w:type="spellEnd"/>
      <w:r w:rsidR="00B4295B" w:rsidRPr="00DE0B74">
        <w:rPr>
          <w:lang w:val="de-DE"/>
        </w:rPr>
        <w:t xml:space="preserve"> </w:t>
      </w:r>
      <w:proofErr w:type="spellStart"/>
      <w:r w:rsidR="00B4295B" w:rsidRPr="00DE0B74">
        <w:rPr>
          <w:lang w:val="de-DE"/>
        </w:rPr>
        <w:t>Ngai</w:t>
      </w:r>
      <w:proofErr w:type="spellEnd"/>
      <w:r w:rsidR="0086195E" w:rsidRPr="00DE0B74">
        <w:rPr>
          <w:lang w:val="de-DE"/>
        </w:rPr>
        <w:t xml:space="preserve">. Insgesamt wird so eine Fläche von 12‘382 </w:t>
      </w:r>
      <w:r w:rsidR="0086195E" w:rsidRPr="00DE0B74">
        <w:rPr>
          <w:lang w:val="de-DE"/>
        </w:rPr>
        <w:t>Km</w:t>
      </w:r>
      <w:r w:rsidR="0086195E" w:rsidRPr="00DE0B74">
        <w:rPr>
          <w:vertAlign w:val="superscript"/>
          <w:lang w:val="de-DE"/>
        </w:rPr>
        <w:t>2</w:t>
      </w:r>
      <w:r w:rsidR="0086195E" w:rsidRPr="00DE0B74">
        <w:rPr>
          <w:lang w:val="de-DE"/>
        </w:rPr>
        <w:t xml:space="preserve"> untersucht</w:t>
      </w:r>
      <w:r w:rsidRPr="00DE0B74">
        <w:rPr>
          <w:lang w:val="de-DE"/>
        </w:rPr>
        <w:t xml:space="preserve">. Im Westen </w:t>
      </w:r>
      <w:r w:rsidR="0094227B" w:rsidRPr="00DE0B74">
        <w:rPr>
          <w:lang w:val="de-DE"/>
        </w:rPr>
        <w:t>erstreckt es sich bis an die laotische Grenze und im Osten bis zum Südchinesischen Meer</w:t>
      </w:r>
      <w:r w:rsidR="007A4D09" w:rsidRPr="00DE0B74">
        <w:rPr>
          <w:lang w:val="de-DE"/>
        </w:rPr>
        <w:t xml:space="preserve"> (Meinhardt et al. 2015).</w:t>
      </w:r>
      <w:r w:rsidR="0094227B" w:rsidRPr="00DE0B74">
        <w:rPr>
          <w:lang w:val="de-DE"/>
        </w:rPr>
        <w:t xml:space="preserve"> </w:t>
      </w:r>
      <w:r w:rsidR="007A4D09" w:rsidRPr="00DE0B74">
        <w:rPr>
          <w:lang w:val="de-DE"/>
        </w:rPr>
        <w:t xml:space="preserve">Das Untersuchungsgebiet erstreckt sich von den Bergen im Westen von etwa 2000 </w:t>
      </w:r>
      <w:proofErr w:type="spellStart"/>
      <w:r w:rsidR="007A4D09" w:rsidRPr="00DE0B74">
        <w:rPr>
          <w:lang w:val="de-DE"/>
        </w:rPr>
        <w:t>M.ü.M</w:t>
      </w:r>
      <w:proofErr w:type="spellEnd"/>
      <w:r w:rsidR="007A4D09" w:rsidRPr="00DE0B74">
        <w:rPr>
          <w:lang w:val="de-DE"/>
        </w:rPr>
        <w:t>. bis zu der ausgedehnten</w:t>
      </w:r>
      <w:r w:rsidR="00B4295B" w:rsidRPr="00DE0B74">
        <w:rPr>
          <w:lang w:val="de-DE"/>
        </w:rPr>
        <w:t xml:space="preserve"> tiefliegenden</w:t>
      </w:r>
      <w:r w:rsidR="007A4D09" w:rsidRPr="00DE0B74">
        <w:rPr>
          <w:lang w:val="de-DE"/>
        </w:rPr>
        <w:t xml:space="preserve"> Ausgleichsküste mit </w:t>
      </w:r>
      <w:proofErr w:type="spellStart"/>
      <w:r w:rsidR="007A4D09" w:rsidRPr="00DE0B74">
        <w:rPr>
          <w:lang w:val="de-DE"/>
        </w:rPr>
        <w:t>Ästuaren</w:t>
      </w:r>
      <w:proofErr w:type="spellEnd"/>
      <w:r w:rsidR="007A4D09" w:rsidRPr="00DE0B74">
        <w:rPr>
          <w:lang w:val="de-DE"/>
        </w:rPr>
        <w:t xml:space="preserve"> im Osten</w:t>
      </w:r>
      <w:r w:rsidR="00E05D85" w:rsidRPr="00DE0B74">
        <w:rPr>
          <w:lang w:val="de-DE"/>
        </w:rPr>
        <w:t>.</w:t>
      </w:r>
    </w:p>
    <w:tbl>
      <w:tblPr>
        <w:tblStyle w:val="Tabellenraster"/>
        <w:tblW w:w="0" w:type="auto"/>
        <w:tblLook w:val="04A0" w:firstRow="1" w:lastRow="0" w:firstColumn="1" w:lastColumn="0" w:noHBand="0" w:noVBand="1"/>
      </w:tblPr>
      <w:tblGrid>
        <w:gridCol w:w="9062"/>
      </w:tblGrid>
      <w:tr w:rsidR="0086195E" w:rsidRPr="00DE0B74" w14:paraId="4FC5A89C" w14:textId="77777777" w:rsidTr="0086195E">
        <w:tc>
          <w:tcPr>
            <w:tcW w:w="9062" w:type="dxa"/>
          </w:tcPr>
          <w:p w14:paraId="47F9A898" w14:textId="740B9412" w:rsidR="0086195E" w:rsidRPr="00DE0B74" w:rsidRDefault="00617067" w:rsidP="00EE1307">
            <w:pPr>
              <w:rPr>
                <w:rFonts w:ascii="Arial" w:hAnsi="Arial" w:cs="Arial"/>
                <w:sz w:val="18"/>
                <w:szCs w:val="18"/>
                <w:lang w:val="de-DE"/>
              </w:rPr>
            </w:pPr>
            <w:r w:rsidRPr="00DE0B74">
              <w:rPr>
                <w:noProof/>
                <w:lang w:val="de-DE"/>
              </w:rPr>
              <w:drawing>
                <wp:inline distT="0" distB="0" distL="0" distR="0" wp14:anchorId="7B3C6B80" wp14:editId="57F4FC2B">
                  <wp:extent cx="5760720" cy="411924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4119245"/>
                          </a:xfrm>
                          <a:prstGeom prst="rect">
                            <a:avLst/>
                          </a:prstGeom>
                        </pic:spPr>
                      </pic:pic>
                    </a:graphicData>
                  </a:graphic>
                </wp:inline>
              </w:drawing>
            </w:r>
          </w:p>
        </w:tc>
      </w:tr>
      <w:tr w:rsidR="0086195E" w:rsidRPr="00DE0B74" w14:paraId="3D60E14F" w14:textId="77777777" w:rsidTr="0086195E">
        <w:tc>
          <w:tcPr>
            <w:tcW w:w="9062" w:type="dxa"/>
          </w:tcPr>
          <w:p w14:paraId="6CE236E5" w14:textId="2A5F60DA" w:rsidR="0086195E" w:rsidRPr="00DE0B74" w:rsidRDefault="00617067" w:rsidP="00EE1307">
            <w:pPr>
              <w:rPr>
                <w:rFonts w:ascii="Arial" w:hAnsi="Arial" w:cs="Arial"/>
                <w:sz w:val="18"/>
                <w:szCs w:val="18"/>
                <w:lang w:val="de-DE"/>
              </w:rPr>
            </w:pPr>
            <w:r w:rsidRPr="00DE0B74">
              <w:rPr>
                <w:rFonts w:ascii="Arial" w:hAnsi="Arial" w:cs="Arial"/>
                <w:sz w:val="18"/>
                <w:szCs w:val="18"/>
                <w:lang w:val="de-DE"/>
              </w:rPr>
              <w:t>Fig 1. Untersuchungsgebiet VGBT und Provinzen in Zentral Vietnam. (</w:t>
            </w:r>
            <w:r w:rsidRPr="00DE0B74">
              <w:rPr>
                <w:rFonts w:ascii="Arial" w:hAnsi="Arial" w:cs="Arial"/>
                <w:sz w:val="18"/>
                <w:szCs w:val="18"/>
                <w:lang w:val="de-DE"/>
              </w:rPr>
              <w:t>Meinhardt et al. 2015)</w:t>
            </w:r>
          </w:p>
        </w:tc>
      </w:tr>
    </w:tbl>
    <w:p w14:paraId="374688A2" w14:textId="6DAA9F9B" w:rsidR="00951F3D" w:rsidRPr="00DE0B74" w:rsidRDefault="00951F3D" w:rsidP="00EE1307">
      <w:pPr>
        <w:rPr>
          <w:rFonts w:ascii="Arial" w:hAnsi="Arial" w:cs="Arial"/>
          <w:sz w:val="18"/>
          <w:szCs w:val="18"/>
          <w:lang w:val="de-DE"/>
        </w:rPr>
      </w:pPr>
    </w:p>
    <w:p w14:paraId="0C0AA42F" w14:textId="7612886C" w:rsidR="00FD6800" w:rsidRPr="00F269C4" w:rsidRDefault="001E7FFB" w:rsidP="000377ED">
      <w:r w:rsidRPr="00DE0B74">
        <w:rPr>
          <w:lang w:val="de-DE"/>
        </w:rPr>
        <w:t>Jährlich fallen im Untersuchungsgebiet zwischen 2300 und 5600 mm Niederschlag</w:t>
      </w:r>
      <w:r w:rsidR="00FD6800" w:rsidRPr="00DE0B74">
        <w:rPr>
          <w:lang w:val="de-DE"/>
        </w:rPr>
        <w:t xml:space="preserve"> </w:t>
      </w:r>
      <w:r w:rsidR="00FD6800" w:rsidRPr="00DE0B74">
        <w:rPr>
          <w:lang w:val="de-DE"/>
        </w:rPr>
        <w:t>(Meinhardt et al. 2015)</w:t>
      </w:r>
      <w:r w:rsidRPr="00DE0B74">
        <w:rPr>
          <w:lang w:val="de-DE"/>
        </w:rPr>
        <w:t xml:space="preserve">. Da in Zentral Vietnam ein tropisches Monsun Klima herrscht, fällt der </w:t>
      </w:r>
      <w:proofErr w:type="spellStart"/>
      <w:r w:rsidRPr="00DE0B74">
        <w:rPr>
          <w:lang w:val="de-DE"/>
        </w:rPr>
        <w:t>grösste</w:t>
      </w:r>
      <w:proofErr w:type="spellEnd"/>
      <w:r w:rsidRPr="00DE0B74">
        <w:rPr>
          <w:lang w:val="de-DE"/>
        </w:rPr>
        <w:t xml:space="preserve"> Teil</w:t>
      </w:r>
      <w:r w:rsidR="00FD6800" w:rsidRPr="00DE0B74">
        <w:rPr>
          <w:lang w:val="de-DE"/>
        </w:rPr>
        <w:t xml:space="preserve"> (60-80%)</w:t>
      </w:r>
      <w:r w:rsidRPr="00DE0B74">
        <w:rPr>
          <w:lang w:val="de-DE"/>
        </w:rPr>
        <w:t xml:space="preserve"> des Niederschlages zwischen September und Dezembe</w:t>
      </w:r>
      <w:r w:rsidR="00FD6800" w:rsidRPr="00DE0B74">
        <w:rPr>
          <w:lang w:val="de-DE"/>
        </w:rPr>
        <w:t xml:space="preserve">r, wohingegen die Sommermonate relativ trocken sind </w:t>
      </w:r>
      <w:r w:rsidR="00FD6800" w:rsidRPr="00DE0B74">
        <w:rPr>
          <w:lang w:val="de-DE"/>
        </w:rPr>
        <w:t>(Peel et al., 2007</w:t>
      </w:r>
      <w:r w:rsidR="00FD6800" w:rsidRPr="00DE0B74">
        <w:rPr>
          <w:lang w:val="de-DE"/>
        </w:rPr>
        <w:t xml:space="preserve"> und </w:t>
      </w:r>
      <w:proofErr w:type="spellStart"/>
      <w:r w:rsidR="00FD6800" w:rsidRPr="00DE0B74">
        <w:rPr>
          <w:lang w:val="de-DE"/>
        </w:rPr>
        <w:t>Souvignet</w:t>
      </w:r>
      <w:proofErr w:type="spellEnd"/>
      <w:r w:rsidR="00FD6800" w:rsidRPr="00DE0B74">
        <w:rPr>
          <w:lang w:val="de-DE"/>
        </w:rPr>
        <w:t xml:space="preserve"> </w:t>
      </w:r>
      <w:r w:rsidR="00FD6800" w:rsidRPr="00DE0B74">
        <w:rPr>
          <w:lang w:val="de-DE"/>
        </w:rPr>
        <w:t>et al. 2014)</w:t>
      </w:r>
      <w:r w:rsidR="00F269C4">
        <w:rPr>
          <w:lang w:val="de-DE"/>
        </w:rPr>
        <w:t xml:space="preserve">. </w:t>
      </w:r>
      <w:r w:rsidR="00F269C4" w:rsidRPr="00F269C4">
        <w:t xml:space="preserve">Extreme </w:t>
      </w:r>
      <w:proofErr w:type="spellStart"/>
      <w:r w:rsidR="00F269C4" w:rsidRPr="00F269C4">
        <w:t>Niederschlagsereingisse</w:t>
      </w:r>
      <w:proofErr w:type="spellEnd"/>
      <w:r w:rsidR="00F269C4" w:rsidRPr="00F269C4">
        <w:t xml:space="preserve"> kombiniert mit dem für tropische Re</w:t>
      </w:r>
      <w:r w:rsidR="00F269C4">
        <w:t xml:space="preserve">gionen typisch </w:t>
      </w:r>
      <w:r w:rsidR="00F269C4" w:rsidRPr="00F269C4">
        <w:t>tiefgründig verwittert</w:t>
      </w:r>
      <w:r w:rsidR="00F269C4">
        <w:t xml:space="preserve">en </w:t>
      </w:r>
      <w:r w:rsidR="00F269C4" w:rsidRPr="00F269C4">
        <w:t>Grundgestein</w:t>
      </w:r>
      <w:r w:rsidR="00F269C4">
        <w:t xml:space="preserve">, führt zu hohen Sedimentationsraten und hoher Anfälligkeit für Erdrutsche. </w:t>
      </w:r>
      <w:r w:rsidR="00A83607">
        <w:t xml:space="preserve">Zu einer noch stärkeren Anfälligkeit führt die sich verstärkenden menschlichen Umweltveränderungen in Form landwirtschaftlicher Intensivierung </w:t>
      </w:r>
      <w:r w:rsidR="00A83607">
        <w:t>(Fink et al. 2014)</w:t>
      </w:r>
      <w:r w:rsidR="00A83607">
        <w:t>, sowie Auswirkungen des Klimawandels (IPCC, 2012).</w:t>
      </w:r>
    </w:p>
    <w:p w14:paraId="50FB9C39" w14:textId="5FA528D2" w:rsidR="00F269C4" w:rsidRPr="00F269C4" w:rsidRDefault="00F269C4" w:rsidP="000377ED">
      <w:pPr>
        <w:rPr>
          <w:lang w:val="en-GB"/>
        </w:rPr>
      </w:pPr>
      <w:r w:rsidRPr="002E07A5">
        <w:rPr>
          <w:rFonts w:ascii="Times New Roman" w:eastAsia="Times New Roman" w:hAnsi="Times New Roman" w:cs="Times New Roman"/>
          <w:lang w:val="en-GB" w:eastAsia="de-CH"/>
        </w:rPr>
        <w:t>This com-</w:t>
      </w:r>
      <w:r w:rsidRPr="002E07A5">
        <w:rPr>
          <w:rFonts w:ascii="Times New Roman" w:eastAsia="Times New Roman" w:hAnsi="Times New Roman" w:cs="Times New Roman"/>
          <w:sz w:val="24"/>
          <w:szCs w:val="24"/>
          <w:lang w:val="en-GB" w:eastAsia="de-CH"/>
        </w:rPr>
        <w:br/>
      </w:r>
      <w:proofErr w:type="spellStart"/>
      <w:r w:rsidRPr="002E07A5">
        <w:rPr>
          <w:rFonts w:ascii="Times New Roman" w:eastAsia="Times New Roman" w:hAnsi="Times New Roman" w:cs="Times New Roman"/>
          <w:lang w:val="en-GB" w:eastAsia="de-CH"/>
        </w:rPr>
        <w:t>bined</w:t>
      </w:r>
      <w:proofErr w:type="spellEnd"/>
      <w:r w:rsidRPr="002E07A5">
        <w:rPr>
          <w:rFonts w:ascii="Times New Roman" w:eastAsia="Times New Roman" w:hAnsi="Times New Roman" w:cs="Times New Roman"/>
          <w:lang w:val="en-GB" w:eastAsia="de-CH"/>
        </w:rPr>
        <w:t xml:space="preserve"> with the deeply weathered bedrock, typical for subtropical regions, resulting</w:t>
      </w:r>
      <w:r w:rsidRPr="002E07A5">
        <w:rPr>
          <w:rFonts w:ascii="Times New Roman" w:eastAsia="Times New Roman" w:hAnsi="Times New Roman" w:cs="Times New Roman"/>
          <w:sz w:val="24"/>
          <w:szCs w:val="24"/>
          <w:lang w:val="en-GB" w:eastAsia="de-CH"/>
        </w:rPr>
        <w:br/>
      </w:r>
      <w:r w:rsidRPr="002E07A5">
        <w:rPr>
          <w:rFonts w:ascii="Times New Roman" w:eastAsia="Times New Roman" w:hAnsi="Times New Roman" w:cs="Times New Roman"/>
          <w:lang w:val="en-GB" w:eastAsia="de-CH"/>
        </w:rPr>
        <w:t>in higher vulnerability for erosion and therefore resulting high sediment rates.</w:t>
      </w:r>
      <w:r w:rsidRPr="002E07A5">
        <w:rPr>
          <w:rFonts w:ascii="Times New Roman" w:eastAsia="Times New Roman" w:hAnsi="Times New Roman" w:cs="Times New Roman"/>
          <w:sz w:val="24"/>
          <w:szCs w:val="24"/>
          <w:lang w:val="en-GB" w:eastAsia="de-CH"/>
        </w:rPr>
        <w:br/>
      </w:r>
      <w:r w:rsidRPr="002E07A5">
        <w:rPr>
          <w:rFonts w:ascii="Times New Roman" w:eastAsia="Times New Roman" w:hAnsi="Times New Roman" w:cs="Times New Roman"/>
          <w:lang w:val="en-GB" w:eastAsia="de-CH"/>
        </w:rPr>
        <w:t>Additionally, local human activities and the effects of global climate change</w:t>
      </w:r>
      <w:r w:rsidRPr="002E07A5">
        <w:rPr>
          <w:rFonts w:ascii="Times New Roman" w:eastAsia="Times New Roman" w:hAnsi="Times New Roman" w:cs="Times New Roman"/>
          <w:sz w:val="24"/>
          <w:szCs w:val="24"/>
          <w:lang w:val="en-GB" w:eastAsia="de-CH"/>
        </w:rPr>
        <w:br/>
      </w:r>
      <w:r w:rsidRPr="002E07A5">
        <w:rPr>
          <w:rFonts w:ascii="Times New Roman" w:eastAsia="Times New Roman" w:hAnsi="Times New Roman" w:cs="Times New Roman"/>
          <w:lang w:val="en-GB" w:eastAsia="de-CH"/>
        </w:rPr>
        <w:t>amplify this higher vulnerability.</w:t>
      </w:r>
    </w:p>
    <w:p w14:paraId="6160B033" w14:textId="77777777" w:rsidR="000377ED" w:rsidRPr="00F269C4" w:rsidRDefault="000377ED" w:rsidP="000377ED">
      <w:pPr>
        <w:rPr>
          <w:lang w:val="en-GB"/>
        </w:rPr>
      </w:pPr>
    </w:p>
    <w:p w14:paraId="412864DA" w14:textId="2CEDD594" w:rsidR="00727A03" w:rsidRPr="00DE0B74" w:rsidRDefault="007B2AEC" w:rsidP="000377ED">
      <w:pPr>
        <w:rPr>
          <w:lang w:val="de-DE"/>
        </w:rPr>
      </w:pPr>
      <w:r w:rsidRPr="00DE0B74">
        <w:rPr>
          <w:lang w:val="de-DE"/>
        </w:rPr>
        <w:t>Das Untersuchungsgebiet befindet sich im Übergangsb</w:t>
      </w:r>
      <w:r w:rsidR="00DE0B74">
        <w:rPr>
          <w:lang w:val="de-DE"/>
        </w:rPr>
        <w:t>e</w:t>
      </w:r>
      <w:r w:rsidRPr="00DE0B74">
        <w:rPr>
          <w:lang w:val="de-DE"/>
        </w:rPr>
        <w:t xml:space="preserve">reich zweier geologischen Einheiten. Im Süden befindet sich die </w:t>
      </w:r>
      <w:proofErr w:type="spellStart"/>
      <w:r w:rsidRPr="00DE0B74">
        <w:rPr>
          <w:lang w:val="de-DE"/>
        </w:rPr>
        <w:t>Kom</w:t>
      </w:r>
      <w:proofErr w:type="spellEnd"/>
      <w:r w:rsidRPr="00DE0B74">
        <w:rPr>
          <w:lang w:val="de-DE"/>
        </w:rPr>
        <w:t xml:space="preserve"> </w:t>
      </w:r>
      <w:proofErr w:type="spellStart"/>
      <w:r w:rsidRPr="00DE0B74">
        <w:rPr>
          <w:lang w:val="de-DE"/>
        </w:rPr>
        <w:t>Tum</w:t>
      </w:r>
      <w:proofErr w:type="spellEnd"/>
      <w:r w:rsidRPr="00DE0B74">
        <w:rPr>
          <w:lang w:val="de-DE"/>
        </w:rPr>
        <w:t xml:space="preserve"> Formation und im nördlichen Teil die </w:t>
      </w:r>
      <w:proofErr w:type="spellStart"/>
      <w:r w:rsidRPr="00DE0B74">
        <w:rPr>
          <w:lang w:val="de-DE"/>
        </w:rPr>
        <w:t>Truongson</w:t>
      </w:r>
      <w:proofErr w:type="spellEnd"/>
      <w:r w:rsidRPr="00DE0B74">
        <w:rPr>
          <w:lang w:val="de-DE"/>
        </w:rPr>
        <w:t xml:space="preserve"> Formation. Die Kon </w:t>
      </w:r>
      <w:proofErr w:type="spellStart"/>
      <w:r w:rsidRPr="00DE0B74">
        <w:rPr>
          <w:lang w:val="de-DE"/>
        </w:rPr>
        <w:t>Tum</w:t>
      </w:r>
      <w:proofErr w:type="spellEnd"/>
      <w:r w:rsidRPr="00DE0B74">
        <w:rPr>
          <w:lang w:val="de-DE"/>
        </w:rPr>
        <w:t xml:space="preserve"> Formation besteht </w:t>
      </w:r>
      <w:r w:rsidR="00DE0B74" w:rsidRPr="00DE0B74">
        <w:rPr>
          <w:lang w:val="de-DE"/>
        </w:rPr>
        <w:t>hauptsächlich</w:t>
      </w:r>
      <w:r w:rsidRPr="00DE0B74">
        <w:rPr>
          <w:lang w:val="de-DE"/>
        </w:rPr>
        <w:t xml:space="preserve"> aus Präkambrischem Gestein, wohingegen die nördliche Formation aus</w:t>
      </w:r>
      <w:r w:rsidR="007321FE" w:rsidRPr="00DE0B74">
        <w:rPr>
          <w:lang w:val="de-DE"/>
        </w:rPr>
        <w:t xml:space="preserve"> dem</w:t>
      </w:r>
      <w:r w:rsidRPr="00DE0B74">
        <w:rPr>
          <w:lang w:val="de-DE"/>
        </w:rPr>
        <w:t xml:space="preserve"> </w:t>
      </w:r>
      <w:r w:rsidR="007321FE" w:rsidRPr="00DE0B74">
        <w:rPr>
          <w:lang w:val="de-DE"/>
        </w:rPr>
        <w:t>jüngerem</w:t>
      </w:r>
      <w:r w:rsidRPr="00DE0B74">
        <w:rPr>
          <w:lang w:val="de-DE"/>
        </w:rPr>
        <w:t xml:space="preserve"> Paläozoikum</w:t>
      </w:r>
      <w:r w:rsidR="007321FE" w:rsidRPr="00DE0B74">
        <w:rPr>
          <w:lang w:val="de-DE"/>
        </w:rPr>
        <w:t xml:space="preserve"> und </w:t>
      </w:r>
      <w:r w:rsidR="007321FE" w:rsidRPr="00DE0B74">
        <w:rPr>
          <w:lang w:val="de-DE"/>
        </w:rPr>
        <w:t>bis zu 12'000 Metern mächtig ist</w:t>
      </w:r>
      <w:r w:rsidR="007321FE" w:rsidRPr="00DE0B74">
        <w:rPr>
          <w:lang w:val="de-DE"/>
        </w:rPr>
        <w:t xml:space="preserve">. Durch das Untersuchungsgebiet ziehen sich Grabensysteme, welche sich im Mesozoikum gebildet haben und sich mit Sedimentären Gestein aufgefüllt haben. Entlang der Küstengebiete findet sich viel </w:t>
      </w:r>
      <w:r w:rsidR="000377ED" w:rsidRPr="00DE0B74">
        <w:rPr>
          <w:lang w:val="de-DE"/>
        </w:rPr>
        <w:t>q</w:t>
      </w:r>
      <w:r w:rsidR="007321FE" w:rsidRPr="00DE0B74">
        <w:rPr>
          <w:lang w:val="de-DE"/>
        </w:rPr>
        <w:t>uartäres Sediment</w:t>
      </w:r>
      <w:r w:rsidR="000377ED" w:rsidRPr="00DE0B74">
        <w:rPr>
          <w:lang w:val="de-DE"/>
        </w:rPr>
        <w:t xml:space="preserve"> </w:t>
      </w:r>
      <w:r w:rsidR="000377ED" w:rsidRPr="00DE0B74">
        <w:rPr>
          <w:lang w:val="de-DE"/>
        </w:rPr>
        <w:t>(Nam, 1995).</w:t>
      </w:r>
    </w:p>
    <w:p w14:paraId="4DF4BEAD" w14:textId="45CE4699" w:rsidR="00C5691A" w:rsidRPr="00DE0B74" w:rsidRDefault="00C5691A" w:rsidP="000377ED">
      <w:pPr>
        <w:rPr>
          <w:lang w:val="de-DE"/>
        </w:rPr>
      </w:pPr>
      <w:r w:rsidRPr="00DE0B74">
        <w:rPr>
          <w:lang w:val="de-DE"/>
        </w:rPr>
        <w:t xml:space="preserve">Etwa 75% des Untersuchungsgebiets sind von Waldflächen bedeckt weitere 11% werden zu Landwirtschaftlichen Zwecken, besonders Reisanbau) genutzt. Städtische Gebiete machen etwa 5% des Untersuchungsgebiets aus </w:t>
      </w:r>
      <w:r w:rsidRPr="00DE0B74">
        <w:rPr>
          <w:lang w:val="de-DE"/>
        </w:rPr>
        <w:t>(MONRE, 2010)</w:t>
      </w:r>
      <w:r w:rsidRPr="00DE0B74">
        <w:rPr>
          <w:lang w:val="de-DE"/>
        </w:rPr>
        <w:t>.</w:t>
      </w:r>
    </w:p>
    <w:p w14:paraId="2B0C6C82" w14:textId="08C9820F" w:rsidR="00FE7DD9" w:rsidRPr="00DE0B74" w:rsidRDefault="00845F8A" w:rsidP="007279B9">
      <w:pPr>
        <w:rPr>
          <w:lang w:val="de-DE"/>
        </w:rPr>
      </w:pPr>
      <w:r w:rsidRPr="00DE0B74">
        <w:rPr>
          <w:lang w:val="de-DE"/>
        </w:rPr>
        <w:t xml:space="preserve">Die Landnutzung ist jedoch nicht uniform im Untersuchungsgebiet, was wiederum </w:t>
      </w:r>
      <w:r w:rsidR="00DE0B74" w:rsidRPr="00DE0B74">
        <w:rPr>
          <w:lang w:val="de-DE"/>
        </w:rPr>
        <w:t>Auswirkungen</w:t>
      </w:r>
      <w:r w:rsidRPr="00DE0B74">
        <w:rPr>
          <w:lang w:val="de-DE"/>
        </w:rPr>
        <w:t xml:space="preserve"> auf die Anfälligkeit für Hangrutschungen haben kann. Meinhardt et al. (2015) unterscheiden nach drei Nutzungsmustern basierend auf der Höhe </w:t>
      </w:r>
      <w:r w:rsidR="00FE7DD9" w:rsidRPr="00DE0B74">
        <w:rPr>
          <w:lang w:val="de-DE"/>
        </w:rPr>
        <w:t xml:space="preserve">über Meer. Auf einer Höhe ab 800 Metern dominieren natürliche sowie gepflanzte Wälder. Der Ackerbau ist geprägt von dem Wechselanbau zwischen </w:t>
      </w:r>
      <w:r w:rsidR="006456DB" w:rsidRPr="00DE0B74">
        <w:rPr>
          <w:lang w:val="de-DE"/>
        </w:rPr>
        <w:t>Akazien</w:t>
      </w:r>
      <w:r w:rsidR="006456DB" w:rsidRPr="00DE0B74">
        <w:rPr>
          <w:lang w:val="de-DE"/>
        </w:rPr>
        <w:t>bäumen und So</w:t>
      </w:r>
      <w:r w:rsidR="00DE0B74">
        <w:rPr>
          <w:lang w:val="de-DE"/>
        </w:rPr>
        <w:t>ja</w:t>
      </w:r>
      <w:r w:rsidR="006456DB" w:rsidRPr="00DE0B74">
        <w:rPr>
          <w:lang w:val="de-DE"/>
        </w:rPr>
        <w:t xml:space="preserve">bohnen, Gemüsen und Früchten. Auf Hochplateaus wird auch Reis angebaut. Die mittleren Lagen zwischen 200 und 800 Metern sind geprägt vom Wechselanbau. Wald ist etwas noch vorhanden. In diesen Höhenlagen werden vermehrt </w:t>
      </w:r>
      <w:r w:rsidR="006A66E3" w:rsidRPr="00DE0B74">
        <w:rPr>
          <w:lang w:val="de-DE"/>
        </w:rPr>
        <w:t>Gummibäume kultiviert. Reis wird in bewässerten Tallagen angebaut, wo dieser die Mehrheit des Ackerbau darstellt. In Tieflagen bis 200 Metern dominiert der bewässerte Reisanbau. Flusssysteme sind durch viele Kanäle miteinander verbunden. Die großen Siedlungsgebiete des Untersuchungsgebiet befinden sich in diesen Lagen.</w:t>
      </w:r>
    </w:p>
    <w:p w14:paraId="43FCD9DB" w14:textId="481DF633" w:rsidR="00FE7DD9" w:rsidRDefault="00FE7DD9" w:rsidP="007279B9">
      <w:pPr>
        <w:rPr>
          <w:lang w:val="de-DE"/>
        </w:rPr>
      </w:pPr>
      <w:r w:rsidRPr="00DE0B74">
        <w:rPr>
          <w:lang w:val="de-DE"/>
        </w:rPr>
        <w:t xml:space="preserve">Die Kombination aus Topographie, </w:t>
      </w:r>
      <w:r w:rsidR="00DE0B74" w:rsidRPr="00DE0B74">
        <w:rPr>
          <w:lang w:val="de-DE"/>
        </w:rPr>
        <w:t>Bodenbeschaffenheit</w:t>
      </w:r>
      <w:r w:rsidRPr="00DE0B74">
        <w:rPr>
          <w:lang w:val="de-DE"/>
        </w:rPr>
        <w:t xml:space="preserve"> und Monsu</w:t>
      </w:r>
      <w:r w:rsidR="00DE0B74">
        <w:rPr>
          <w:lang w:val="de-DE"/>
        </w:rPr>
        <w:t>n</w:t>
      </w:r>
      <w:r w:rsidRPr="00DE0B74">
        <w:rPr>
          <w:lang w:val="de-DE"/>
        </w:rPr>
        <w:t xml:space="preserve">klima führt im Untersuchungsgebiet zu vielen Erdrutschen. Häufig führen Starkregenereignisse zu einem höheren Porenwasserdruck und schlussendlich zur Destabilisierung und dem Abrutschen von Hängen. </w:t>
      </w:r>
      <w:proofErr w:type="spellStart"/>
      <w:r w:rsidRPr="00DE0B74">
        <w:rPr>
          <w:lang w:val="de-DE"/>
        </w:rPr>
        <w:t>Souvignet</w:t>
      </w:r>
      <w:proofErr w:type="spellEnd"/>
      <w:r w:rsidRPr="00DE0B74">
        <w:rPr>
          <w:lang w:val="de-DE"/>
        </w:rPr>
        <w:t xml:space="preserve"> et al. (2014) stellten im Untersuchungsgebiet eine Zunahme der Niederschläge von 15% pro Jahrzehnt fest. Ebenfalls nehmen die Abflussmengen stark zu (31 -35% pro </w:t>
      </w:r>
      <w:r w:rsidR="00DE0B74" w:rsidRPr="00DE0B74">
        <w:rPr>
          <w:lang w:val="de-DE"/>
        </w:rPr>
        <w:t>Jahrzehnt</w:t>
      </w:r>
      <w:r w:rsidRPr="00DE0B74">
        <w:rPr>
          <w:lang w:val="de-DE"/>
        </w:rPr>
        <w:t>), was nicht nur mit den Erhöhten Niederschlagswerten zu tun hat, sondern auch auf die veränderten Landnutzungsstrukturen zurückzuführen ist. Die Monsunzeit fällt länger aus und extreme Niederschlagsereignisse häufiger geworden.</w:t>
      </w:r>
    </w:p>
    <w:p w14:paraId="407AEC07" w14:textId="46BD98CB" w:rsidR="002E07A5" w:rsidRDefault="002E07A5" w:rsidP="007279B9">
      <w:pPr>
        <w:rPr>
          <w:lang w:val="de-DE"/>
        </w:rPr>
      </w:pPr>
    </w:p>
    <w:p w14:paraId="7AAD7D0B" w14:textId="6CA30861" w:rsidR="00A83607" w:rsidRDefault="00A83607" w:rsidP="002E07A5">
      <w:pPr>
        <w:rPr>
          <w:rFonts w:ascii="Times New Roman" w:eastAsia="Times New Roman" w:hAnsi="Times New Roman" w:cs="Times New Roman"/>
          <w:lang w:eastAsia="de-CH"/>
        </w:rPr>
      </w:pPr>
    </w:p>
    <w:p w14:paraId="458554F8" w14:textId="1827BD05" w:rsidR="00A83607" w:rsidRPr="00A83607" w:rsidRDefault="00A83607" w:rsidP="00A83607">
      <w:pPr>
        <w:pStyle w:val="ROutputconsole"/>
        <w:rPr>
          <w:lang w:eastAsia="de-CH"/>
        </w:rPr>
      </w:pPr>
      <w:r w:rsidRPr="002E07A5">
        <w:rPr>
          <w:lang w:val="de-CH" w:eastAsia="de-CH"/>
        </w:rPr>
        <w:t xml:space="preserve">FINK, M., FISCHER, C., LAUX, P., TÜNSCHEL, H., MEINHARDT, M. (2017). </w:t>
      </w:r>
      <w:r w:rsidRPr="002E07A5">
        <w:rPr>
          <w:lang w:eastAsia="de-CH"/>
        </w:rPr>
        <w:t>Distributed Assessment of Sediment Dynamics in Central Vietnam. In: NAUDITT, A., RIBBE, L. (Eds.), Land Use and Climate Change Interactions in Central Vietnam. Singapore: Springer (in press).</w:t>
      </w:r>
    </w:p>
    <w:p w14:paraId="2A965EB7" w14:textId="65BC669F" w:rsidR="009E349C" w:rsidRDefault="009E349C" w:rsidP="00A83607">
      <w:pPr>
        <w:spacing w:after="0"/>
        <w:rPr>
          <w:sz w:val="18"/>
          <w:szCs w:val="18"/>
        </w:rPr>
      </w:pPr>
    </w:p>
    <w:p w14:paraId="570D0967" w14:textId="5E6545D4" w:rsidR="00A77956" w:rsidRDefault="00A77956" w:rsidP="00A77956">
      <w:pPr>
        <w:pStyle w:val="ROutputconsole"/>
      </w:pPr>
      <w:r w:rsidRPr="00DE0B74">
        <w:rPr>
          <w:lang w:val="de-CH"/>
        </w:rPr>
        <w:t xml:space="preserve">Peel, M.C., </w:t>
      </w:r>
      <w:proofErr w:type="spellStart"/>
      <w:r w:rsidRPr="00DE0B74">
        <w:rPr>
          <w:lang w:val="de-CH"/>
        </w:rPr>
        <w:t>Finlayson</w:t>
      </w:r>
      <w:proofErr w:type="spellEnd"/>
      <w:r w:rsidRPr="00DE0B74">
        <w:rPr>
          <w:lang w:val="de-CH"/>
        </w:rPr>
        <w:t xml:space="preserve">, B.L., McMahon, T.A., 2007. </w:t>
      </w:r>
      <w:r w:rsidRPr="00A77956">
        <w:t xml:space="preserve">Updated world map of the </w:t>
      </w:r>
      <w:proofErr w:type="spellStart"/>
      <w:r w:rsidRPr="00A77956">
        <w:t>Köppen</w:t>
      </w:r>
      <w:proofErr w:type="spellEnd"/>
      <w:r w:rsidRPr="00A77956">
        <w:rPr>
          <w:rFonts w:ascii="Arial" w:hAnsi="Arial" w:cs="Arial"/>
        </w:rPr>
        <w:t>–</w:t>
      </w:r>
      <w:r w:rsidRPr="00A77956">
        <w:br/>
        <w:t>Geiger climate classi</w:t>
      </w:r>
      <w:r w:rsidRPr="00A77956">
        <w:rPr>
          <w:rFonts w:cs="Courier New"/>
        </w:rPr>
        <w:t>fi</w:t>
      </w:r>
      <w:r w:rsidRPr="00A77956">
        <w:t xml:space="preserve">cation. </w:t>
      </w:r>
      <w:proofErr w:type="spellStart"/>
      <w:r w:rsidRPr="00A77956">
        <w:t>Hydrol</w:t>
      </w:r>
      <w:proofErr w:type="spellEnd"/>
      <w:r w:rsidRPr="00A77956">
        <w:t>. Earth Syst. Sci. 11, 1633</w:t>
      </w:r>
      <w:r w:rsidRPr="00A77956">
        <w:rPr>
          <w:rFonts w:ascii="Arial" w:hAnsi="Arial" w:cs="Arial"/>
        </w:rPr>
        <w:t>–</w:t>
      </w:r>
      <w:r w:rsidRPr="00A77956">
        <w:t>1644</w:t>
      </w:r>
    </w:p>
    <w:p w14:paraId="6E34B1F3" w14:textId="77777777" w:rsidR="00A77956" w:rsidRDefault="00A77956" w:rsidP="00A83607">
      <w:pPr>
        <w:spacing w:after="0" w:line="240" w:lineRule="auto"/>
        <w:rPr>
          <w:rFonts w:ascii="Times New Roman" w:eastAsia="Times New Roman" w:hAnsi="Times New Roman" w:cs="Times New Roman"/>
          <w:sz w:val="24"/>
          <w:szCs w:val="24"/>
          <w:lang w:val="en-GB" w:eastAsia="de-CH"/>
        </w:rPr>
      </w:pPr>
    </w:p>
    <w:p w14:paraId="0FA4B30B" w14:textId="6A8C8BAA" w:rsidR="00A77956" w:rsidRDefault="00A77956" w:rsidP="00A77956">
      <w:pPr>
        <w:pStyle w:val="ROutputconsole"/>
        <w:rPr>
          <w:lang w:eastAsia="de-CH"/>
        </w:rPr>
      </w:pPr>
      <w:r w:rsidRPr="00A77956">
        <w:rPr>
          <w:lang w:eastAsia="de-CH"/>
        </w:rPr>
        <w:t>http://www.lucci-vietnam.info/project-region/socio-economy-and-governance</w:t>
      </w:r>
    </w:p>
    <w:p w14:paraId="7CF49FC8" w14:textId="77777777" w:rsidR="00A77956" w:rsidRPr="009E349C" w:rsidRDefault="00A77956" w:rsidP="00A83607">
      <w:pPr>
        <w:spacing w:after="0" w:line="240" w:lineRule="auto"/>
        <w:rPr>
          <w:rFonts w:ascii="Times New Roman" w:eastAsia="Times New Roman" w:hAnsi="Times New Roman" w:cs="Times New Roman"/>
          <w:sz w:val="24"/>
          <w:szCs w:val="24"/>
          <w:lang w:val="en-GB" w:eastAsia="de-CH"/>
        </w:rPr>
      </w:pPr>
    </w:p>
    <w:p w14:paraId="53D5D295" w14:textId="77777777" w:rsidR="00A77956" w:rsidRPr="00A77956" w:rsidRDefault="00A77956" w:rsidP="00A77956">
      <w:pPr>
        <w:pStyle w:val="ROutputconsole"/>
      </w:pPr>
      <w:r w:rsidRPr="00A83607">
        <w:rPr>
          <w:lang w:val="de-CH"/>
        </w:rPr>
        <w:t xml:space="preserve">MEINHARDT, M., FINK, M., &amp; TÜNSCHEL, H. (2015). </w:t>
      </w:r>
      <w:r w:rsidRPr="00A77956">
        <w:t>Landslide susceptibility analysis in central</w:t>
      </w:r>
    </w:p>
    <w:p w14:paraId="4CFC77D1" w14:textId="77777777" w:rsidR="00A77956" w:rsidRPr="00A77956" w:rsidRDefault="00A77956" w:rsidP="00A77956">
      <w:pPr>
        <w:pStyle w:val="ROutputconsole"/>
      </w:pPr>
      <w:r w:rsidRPr="00A77956">
        <w:t>Vietnam based on an incomplete landslide inventory: Comparison of a new method to calculate</w:t>
      </w:r>
    </w:p>
    <w:p w14:paraId="07B9E14B" w14:textId="0C8D7707" w:rsidR="009E349C" w:rsidRDefault="00A77956" w:rsidP="00A77956">
      <w:pPr>
        <w:pStyle w:val="ROutputconsole"/>
      </w:pPr>
      <w:r w:rsidRPr="00A77956">
        <w:lastRenderedPageBreak/>
        <w:t>weighting factors by means of bivariate statistics. Geomorphology 234, 80-97.</w:t>
      </w:r>
    </w:p>
    <w:p w14:paraId="54076FC7" w14:textId="77777777" w:rsidR="00A77956" w:rsidRDefault="00A77956" w:rsidP="00A83607">
      <w:pPr>
        <w:spacing w:after="0"/>
        <w:rPr>
          <w:sz w:val="18"/>
          <w:szCs w:val="18"/>
          <w:lang w:val="en-GB"/>
        </w:rPr>
      </w:pPr>
    </w:p>
    <w:p w14:paraId="5829F158" w14:textId="77777777" w:rsidR="006306C6" w:rsidRPr="00376363" w:rsidRDefault="006306C6" w:rsidP="00376363">
      <w:pPr>
        <w:pStyle w:val="ROutputconsole"/>
      </w:pPr>
      <w:r w:rsidRPr="00376363">
        <w:t>Recent climatic trends and linkages to river discharge in Central Vietnam</w:t>
      </w:r>
    </w:p>
    <w:p w14:paraId="5C1CA1D2" w14:textId="77777777" w:rsidR="006306C6" w:rsidRPr="00376363" w:rsidRDefault="006306C6" w:rsidP="00376363">
      <w:pPr>
        <w:pStyle w:val="ROutputconsole"/>
      </w:pPr>
      <w:hyperlink r:id="rId5" w:history="1">
        <w:r w:rsidRPr="00376363">
          <w:t xml:space="preserve">Maxime </w:t>
        </w:r>
        <w:proofErr w:type="spellStart"/>
        <w:r w:rsidRPr="00376363">
          <w:t>Souvignet</w:t>
        </w:r>
        <w:proofErr w:type="spellEnd"/>
      </w:hyperlink>
      <w:r w:rsidRPr="00376363">
        <w:t xml:space="preserve">, </w:t>
      </w:r>
      <w:hyperlink r:id="rId6" w:history="1">
        <w:r w:rsidRPr="00376363">
          <w:t>Patrick Laux</w:t>
        </w:r>
      </w:hyperlink>
      <w:r w:rsidRPr="00376363">
        <w:t xml:space="preserve">, </w:t>
      </w:r>
      <w:hyperlink r:id="rId7" w:history="1">
        <w:r w:rsidRPr="00376363">
          <w:t>Jim Freer</w:t>
        </w:r>
      </w:hyperlink>
      <w:r w:rsidRPr="00376363">
        <w:t xml:space="preserve">, </w:t>
      </w:r>
      <w:hyperlink r:id="rId8" w:history="1">
        <w:r w:rsidRPr="00376363">
          <w:t xml:space="preserve">Hannah </w:t>
        </w:r>
        <w:proofErr w:type="spellStart"/>
        <w:r w:rsidRPr="00376363">
          <w:t>Cloke</w:t>
        </w:r>
        <w:proofErr w:type="spellEnd"/>
      </w:hyperlink>
      <w:r w:rsidRPr="00376363">
        <w:t xml:space="preserve">, </w:t>
      </w:r>
      <w:hyperlink r:id="rId9" w:history="1">
        <w:r w:rsidRPr="00376363">
          <w:t xml:space="preserve">Dang Quang </w:t>
        </w:r>
        <w:proofErr w:type="spellStart"/>
        <w:r w:rsidRPr="00376363">
          <w:t>Thinh</w:t>
        </w:r>
        <w:proofErr w:type="spellEnd"/>
      </w:hyperlink>
      <w:r w:rsidRPr="00376363">
        <w:t xml:space="preserve">, </w:t>
      </w:r>
      <w:hyperlink r:id="rId10" w:history="1">
        <w:r w:rsidRPr="00376363">
          <w:t xml:space="preserve">Tran </w:t>
        </w:r>
        <w:proofErr w:type="spellStart"/>
        <w:r w:rsidRPr="00376363">
          <w:t>Thuc</w:t>
        </w:r>
        <w:proofErr w:type="spellEnd"/>
      </w:hyperlink>
      <w:r w:rsidRPr="00376363">
        <w:t xml:space="preserve">, </w:t>
      </w:r>
      <w:hyperlink r:id="rId11" w:history="1">
        <w:r w:rsidRPr="00376363">
          <w:t xml:space="preserve">Johannes </w:t>
        </w:r>
        <w:proofErr w:type="spellStart"/>
        <w:r w:rsidRPr="00376363">
          <w:t>Cullmann</w:t>
        </w:r>
        <w:proofErr w:type="spellEnd"/>
      </w:hyperlink>
      <w:r w:rsidRPr="00376363">
        <w:t xml:space="preserve">, </w:t>
      </w:r>
      <w:hyperlink r:id="rId12" w:history="1">
        <w:r w:rsidRPr="00376363">
          <w:t xml:space="preserve">Alexandra </w:t>
        </w:r>
        <w:proofErr w:type="spellStart"/>
        <w:r w:rsidRPr="00376363">
          <w:t>Nauditt</w:t>
        </w:r>
        <w:proofErr w:type="spellEnd"/>
      </w:hyperlink>
      <w:r w:rsidRPr="00376363">
        <w:t xml:space="preserve">, </w:t>
      </w:r>
      <w:hyperlink r:id="rId13" w:history="1">
        <w:r w:rsidRPr="00376363">
          <w:t xml:space="preserve">Wolfgang-Albert </w:t>
        </w:r>
        <w:proofErr w:type="spellStart"/>
        <w:r w:rsidRPr="00376363">
          <w:t>Flügel</w:t>
        </w:r>
        <w:proofErr w:type="spellEnd"/>
      </w:hyperlink>
      <w:r w:rsidRPr="00376363">
        <w:t xml:space="preserve">, </w:t>
      </w:r>
      <w:hyperlink r:id="rId14" w:history="1">
        <w:r w:rsidRPr="00376363">
          <w:t xml:space="preserve">Harald </w:t>
        </w:r>
        <w:proofErr w:type="spellStart"/>
        <w:r w:rsidRPr="00376363">
          <w:t>Kunstmann</w:t>
        </w:r>
        <w:proofErr w:type="spellEnd"/>
      </w:hyperlink>
      <w:r w:rsidRPr="00376363">
        <w:t xml:space="preserve">, </w:t>
      </w:r>
      <w:hyperlink r:id="rId15" w:history="1">
        <w:r w:rsidRPr="00376363">
          <w:t xml:space="preserve">Lars </w:t>
        </w:r>
        <w:proofErr w:type="spellStart"/>
        <w:r w:rsidRPr="00376363">
          <w:t>Ribbe</w:t>
        </w:r>
        <w:proofErr w:type="spellEnd"/>
      </w:hyperlink>
    </w:p>
    <w:p w14:paraId="257427E6" w14:textId="0C420E4B" w:rsidR="0076531F" w:rsidRPr="00376363" w:rsidRDefault="006306C6" w:rsidP="00A77956">
      <w:pPr>
        <w:pStyle w:val="ROutputconsole"/>
      </w:pPr>
      <w:r w:rsidRPr="00376363">
        <w:t>First published: 26 December 2012</w:t>
      </w:r>
    </w:p>
    <w:p w14:paraId="426A0AB6" w14:textId="7929B211" w:rsidR="0076531F" w:rsidRDefault="0076531F" w:rsidP="0076531F">
      <w:pPr>
        <w:rPr>
          <w:rFonts w:ascii="Courier New" w:hAnsi="Courier New"/>
          <w:color w:val="000000"/>
          <w:sz w:val="18"/>
          <w:szCs w:val="18"/>
          <w:lang w:val="en-GB"/>
        </w:rPr>
      </w:pPr>
    </w:p>
    <w:p w14:paraId="4FA14118" w14:textId="4F16D338" w:rsidR="0076531F" w:rsidRDefault="0076531F" w:rsidP="0076531F">
      <w:pPr>
        <w:pStyle w:val="ROutputconsole"/>
      </w:pPr>
      <w:r w:rsidRPr="0076531F">
        <w:t xml:space="preserve">Nam, T.N., 1995. The geology of Vietnam: a brief summary and problems. </w:t>
      </w:r>
      <w:r>
        <w:t>22. Geoscience</w:t>
      </w:r>
      <w:r>
        <w:br/>
        <w:t>reports of Shizuoka University, pp. 1</w:t>
      </w:r>
      <w:r>
        <w:rPr>
          <w:rFonts w:ascii="Arial" w:hAnsi="Arial" w:cs="Arial"/>
        </w:rPr>
        <w:t>–</w:t>
      </w:r>
      <w:r>
        <w:t>9.</w:t>
      </w:r>
    </w:p>
    <w:p w14:paraId="7CCBD231" w14:textId="77777777" w:rsidR="00376363" w:rsidRDefault="00376363" w:rsidP="000E1561"/>
    <w:p w14:paraId="5094D2C8" w14:textId="4E55DD47" w:rsidR="000E1561" w:rsidRPr="0076531F" w:rsidRDefault="000E1561" w:rsidP="000E1561">
      <w:pPr>
        <w:pStyle w:val="ROutputconsole"/>
      </w:pPr>
      <w:r w:rsidRPr="000E1561">
        <w:t>IPPC (2012) Managing the risks of extreme events and disasters to advance climate change</w:t>
      </w:r>
      <w:r w:rsidRPr="000E1561">
        <w:br/>
        <w:t>adaptation: a special report of Working Groups I and II of the Intergovernmental Panel on</w:t>
      </w:r>
      <w:r w:rsidRPr="000E1561">
        <w:br/>
        <w:t xml:space="preserve">Climate Change. </w:t>
      </w:r>
      <w:r>
        <w:t>Cambridge, New York</w:t>
      </w:r>
    </w:p>
    <w:sectPr w:rsidR="000E1561" w:rsidRPr="0076531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307"/>
    <w:rsid w:val="000377ED"/>
    <w:rsid w:val="000E1561"/>
    <w:rsid w:val="001E7FFB"/>
    <w:rsid w:val="002E07A5"/>
    <w:rsid w:val="00376363"/>
    <w:rsid w:val="003913B8"/>
    <w:rsid w:val="00617067"/>
    <w:rsid w:val="006306C6"/>
    <w:rsid w:val="006456DB"/>
    <w:rsid w:val="00652C52"/>
    <w:rsid w:val="006A66E3"/>
    <w:rsid w:val="007279B9"/>
    <w:rsid w:val="00727A03"/>
    <w:rsid w:val="007321FE"/>
    <w:rsid w:val="0076531F"/>
    <w:rsid w:val="007A4D09"/>
    <w:rsid w:val="007B2AEC"/>
    <w:rsid w:val="00815BFB"/>
    <w:rsid w:val="00845F8A"/>
    <w:rsid w:val="008526A2"/>
    <w:rsid w:val="0086195E"/>
    <w:rsid w:val="0094227B"/>
    <w:rsid w:val="00951F3D"/>
    <w:rsid w:val="00987349"/>
    <w:rsid w:val="009E349C"/>
    <w:rsid w:val="00A55049"/>
    <w:rsid w:val="00A77956"/>
    <w:rsid w:val="00A83607"/>
    <w:rsid w:val="00A94971"/>
    <w:rsid w:val="00B4295B"/>
    <w:rsid w:val="00C5691A"/>
    <w:rsid w:val="00CB2314"/>
    <w:rsid w:val="00DE0B74"/>
    <w:rsid w:val="00E05D85"/>
    <w:rsid w:val="00EE1307"/>
    <w:rsid w:val="00F24526"/>
    <w:rsid w:val="00F269C4"/>
    <w:rsid w:val="00FD6800"/>
    <w:rsid w:val="00FE7DD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3595B"/>
  <w15:chartTrackingRefBased/>
  <w15:docId w15:val="{04A2ED61-A48E-47FD-A156-6983DF37E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link w:val="berschrift1Zchn"/>
    <w:uiPriority w:val="9"/>
    <w:qFormat/>
    <w:rsid w:val="009E349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CH"/>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ROutputconsole">
    <w:name w:val="R_Output_console"/>
    <w:basedOn w:val="Standard"/>
    <w:link w:val="ROutputconsoleZchn"/>
    <w:qFormat/>
    <w:rsid w:val="00815BFB"/>
    <w:pPr>
      <w:pBdr>
        <w:top w:val="single" w:sz="4" w:space="1" w:color="auto"/>
        <w:left w:val="single" w:sz="4" w:space="4" w:color="auto"/>
        <w:bottom w:val="single" w:sz="4" w:space="1" w:color="auto"/>
        <w:right w:val="single" w:sz="4" w:space="4" w:color="auto"/>
      </w:pBdr>
      <w:spacing w:after="0"/>
      <w:contextualSpacing/>
    </w:pPr>
    <w:rPr>
      <w:rFonts w:ascii="Courier New" w:hAnsi="Courier New"/>
      <w:color w:val="000000"/>
      <w:sz w:val="20"/>
      <w:lang w:val="en-GB"/>
    </w:rPr>
  </w:style>
  <w:style w:type="character" w:customStyle="1" w:styleId="ROutputconsoleZchn">
    <w:name w:val="R_Output_console Zchn"/>
    <w:basedOn w:val="Absatz-Standardschriftart"/>
    <w:link w:val="ROutputconsole"/>
    <w:rsid w:val="00815BFB"/>
    <w:rPr>
      <w:rFonts w:ascii="Courier New" w:hAnsi="Courier New"/>
      <w:color w:val="000000"/>
      <w:sz w:val="20"/>
      <w:lang w:val="en-GB"/>
    </w:rPr>
  </w:style>
  <w:style w:type="paragraph" w:styleId="StandardWeb">
    <w:name w:val="Normal (Web)"/>
    <w:basedOn w:val="Standard"/>
    <w:uiPriority w:val="99"/>
    <w:semiHidden/>
    <w:unhideWhenUsed/>
    <w:rsid w:val="009E349C"/>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customStyle="1" w:styleId="berschrift1Zchn">
    <w:name w:val="Überschrift 1 Zchn"/>
    <w:basedOn w:val="Absatz-Standardschriftart"/>
    <w:link w:val="berschrift1"/>
    <w:uiPriority w:val="9"/>
    <w:rsid w:val="009E349C"/>
    <w:rPr>
      <w:rFonts w:ascii="Times New Roman" w:eastAsia="Times New Roman" w:hAnsi="Times New Roman" w:cs="Times New Roman"/>
      <w:b/>
      <w:bCs/>
      <w:kern w:val="36"/>
      <w:sz w:val="48"/>
      <w:szCs w:val="48"/>
      <w:lang w:eastAsia="de-CH"/>
    </w:rPr>
  </w:style>
  <w:style w:type="character" w:customStyle="1" w:styleId="accordion-tabbedtab-mobile">
    <w:name w:val="accordion-tabbed__tab-mobile"/>
    <w:basedOn w:val="Absatz-Standardschriftart"/>
    <w:rsid w:val="006306C6"/>
  </w:style>
  <w:style w:type="character" w:styleId="Hyperlink">
    <w:name w:val="Hyperlink"/>
    <w:basedOn w:val="Absatz-Standardschriftart"/>
    <w:uiPriority w:val="99"/>
    <w:semiHidden/>
    <w:unhideWhenUsed/>
    <w:rsid w:val="006306C6"/>
    <w:rPr>
      <w:color w:val="0000FF"/>
      <w:u w:val="single"/>
    </w:rPr>
  </w:style>
  <w:style w:type="character" w:customStyle="1" w:styleId="comma-separator">
    <w:name w:val="comma-separator"/>
    <w:basedOn w:val="Absatz-Standardschriftart"/>
    <w:rsid w:val="006306C6"/>
  </w:style>
  <w:style w:type="character" w:customStyle="1" w:styleId="epub-state">
    <w:name w:val="epub-state"/>
    <w:basedOn w:val="Absatz-Standardschriftart"/>
    <w:rsid w:val="006306C6"/>
  </w:style>
  <w:style w:type="character" w:customStyle="1" w:styleId="epub-date">
    <w:name w:val="epub-date"/>
    <w:basedOn w:val="Absatz-Standardschriftart"/>
    <w:rsid w:val="006306C6"/>
  </w:style>
  <w:style w:type="table" w:styleId="Tabellenraster">
    <w:name w:val="Table Grid"/>
    <w:basedOn w:val="NormaleTabelle"/>
    <w:uiPriority w:val="39"/>
    <w:rsid w:val="008619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semiHidden/>
    <w:unhideWhenUsed/>
    <w:rsid w:val="006456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6456DB"/>
    <w:rPr>
      <w:rFonts w:ascii="Courier New" w:eastAsia="Times New Roman" w:hAnsi="Courier New" w:cs="Courier New"/>
      <w:sz w:val="20"/>
      <w:szCs w:val="20"/>
      <w:lang w:eastAsia="de-CH"/>
    </w:rPr>
  </w:style>
  <w:style w:type="character" w:customStyle="1" w:styleId="y2iqfc">
    <w:name w:val="y2iqfc"/>
    <w:basedOn w:val="Absatz-Standardschriftart"/>
    <w:rsid w:val="006456DB"/>
  </w:style>
  <w:style w:type="paragraph" w:styleId="KeinLeerraum">
    <w:name w:val="No Spacing"/>
    <w:uiPriority w:val="1"/>
    <w:qFormat/>
    <w:rsid w:val="007279B9"/>
    <w:pPr>
      <w:spacing w:after="0" w:line="240" w:lineRule="auto"/>
    </w:pPr>
  </w:style>
  <w:style w:type="paragraph" w:styleId="Titel">
    <w:name w:val="Title"/>
    <w:basedOn w:val="Standard"/>
    <w:next w:val="Standard"/>
    <w:link w:val="TitelZchn"/>
    <w:uiPriority w:val="10"/>
    <w:qFormat/>
    <w:rsid w:val="00A779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7795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52749">
      <w:bodyDiv w:val="1"/>
      <w:marLeft w:val="0"/>
      <w:marRight w:val="0"/>
      <w:marTop w:val="0"/>
      <w:marBottom w:val="0"/>
      <w:divBdr>
        <w:top w:val="none" w:sz="0" w:space="0" w:color="auto"/>
        <w:left w:val="none" w:sz="0" w:space="0" w:color="auto"/>
        <w:bottom w:val="none" w:sz="0" w:space="0" w:color="auto"/>
        <w:right w:val="none" w:sz="0" w:space="0" w:color="auto"/>
      </w:divBdr>
    </w:div>
    <w:div w:id="422728444">
      <w:bodyDiv w:val="1"/>
      <w:marLeft w:val="0"/>
      <w:marRight w:val="0"/>
      <w:marTop w:val="0"/>
      <w:marBottom w:val="0"/>
      <w:divBdr>
        <w:top w:val="none" w:sz="0" w:space="0" w:color="auto"/>
        <w:left w:val="none" w:sz="0" w:space="0" w:color="auto"/>
        <w:bottom w:val="none" w:sz="0" w:space="0" w:color="auto"/>
        <w:right w:val="none" w:sz="0" w:space="0" w:color="auto"/>
      </w:divBdr>
    </w:div>
    <w:div w:id="1225332061">
      <w:bodyDiv w:val="1"/>
      <w:marLeft w:val="0"/>
      <w:marRight w:val="0"/>
      <w:marTop w:val="0"/>
      <w:marBottom w:val="0"/>
      <w:divBdr>
        <w:top w:val="none" w:sz="0" w:space="0" w:color="auto"/>
        <w:left w:val="none" w:sz="0" w:space="0" w:color="auto"/>
        <w:bottom w:val="none" w:sz="0" w:space="0" w:color="auto"/>
        <w:right w:val="none" w:sz="0" w:space="0" w:color="auto"/>
      </w:divBdr>
      <w:divsChild>
        <w:div w:id="210504620">
          <w:marLeft w:val="0"/>
          <w:marRight w:val="0"/>
          <w:marTop w:val="0"/>
          <w:marBottom w:val="0"/>
          <w:divBdr>
            <w:top w:val="none" w:sz="0" w:space="0" w:color="auto"/>
            <w:left w:val="none" w:sz="0" w:space="0" w:color="auto"/>
            <w:bottom w:val="none" w:sz="0" w:space="0" w:color="auto"/>
            <w:right w:val="none" w:sz="0" w:space="0" w:color="auto"/>
          </w:divBdr>
        </w:div>
      </w:divsChild>
    </w:div>
    <w:div w:id="1253776228">
      <w:bodyDiv w:val="1"/>
      <w:marLeft w:val="0"/>
      <w:marRight w:val="0"/>
      <w:marTop w:val="0"/>
      <w:marBottom w:val="0"/>
      <w:divBdr>
        <w:top w:val="none" w:sz="0" w:space="0" w:color="auto"/>
        <w:left w:val="none" w:sz="0" w:space="0" w:color="auto"/>
        <w:bottom w:val="none" w:sz="0" w:space="0" w:color="auto"/>
        <w:right w:val="none" w:sz="0" w:space="0" w:color="auto"/>
      </w:divBdr>
      <w:divsChild>
        <w:div w:id="1673682000">
          <w:marLeft w:val="0"/>
          <w:marRight w:val="0"/>
          <w:marTop w:val="0"/>
          <w:marBottom w:val="0"/>
          <w:divBdr>
            <w:top w:val="none" w:sz="0" w:space="0" w:color="auto"/>
            <w:left w:val="none" w:sz="0" w:space="0" w:color="auto"/>
            <w:bottom w:val="none" w:sz="0" w:space="0" w:color="auto"/>
            <w:right w:val="none" w:sz="0" w:space="0" w:color="auto"/>
          </w:divBdr>
          <w:divsChild>
            <w:div w:id="273178076">
              <w:marLeft w:val="0"/>
              <w:marRight w:val="0"/>
              <w:marTop w:val="0"/>
              <w:marBottom w:val="0"/>
              <w:divBdr>
                <w:top w:val="none" w:sz="0" w:space="0" w:color="auto"/>
                <w:left w:val="none" w:sz="0" w:space="0" w:color="auto"/>
                <w:bottom w:val="none" w:sz="0" w:space="0" w:color="auto"/>
                <w:right w:val="none" w:sz="0" w:space="0" w:color="auto"/>
              </w:divBdr>
              <w:divsChild>
                <w:div w:id="2085251413">
                  <w:marLeft w:val="0"/>
                  <w:marRight w:val="0"/>
                  <w:marTop w:val="0"/>
                  <w:marBottom w:val="0"/>
                  <w:divBdr>
                    <w:top w:val="none" w:sz="0" w:space="0" w:color="auto"/>
                    <w:left w:val="none" w:sz="0" w:space="0" w:color="auto"/>
                    <w:bottom w:val="none" w:sz="0" w:space="0" w:color="auto"/>
                    <w:right w:val="none" w:sz="0" w:space="0" w:color="auto"/>
                  </w:divBdr>
                  <w:divsChild>
                    <w:div w:id="6844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86874">
          <w:marLeft w:val="0"/>
          <w:marRight w:val="0"/>
          <w:marTop w:val="0"/>
          <w:marBottom w:val="0"/>
          <w:divBdr>
            <w:top w:val="none" w:sz="0" w:space="0" w:color="auto"/>
            <w:left w:val="none" w:sz="0" w:space="0" w:color="auto"/>
            <w:bottom w:val="none" w:sz="0" w:space="0" w:color="auto"/>
            <w:right w:val="none" w:sz="0" w:space="0" w:color="auto"/>
          </w:divBdr>
          <w:divsChild>
            <w:div w:id="3323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341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nlinelibrary.wiley.com/action/doSearch?ContribAuthorRaw=Cloke%2C+Hannah" TargetMode="External"/><Relationship Id="rId13" Type="http://schemas.openxmlformats.org/officeDocument/2006/relationships/hyperlink" Target="https://onlinelibrary.wiley.com/action/doSearch?ContribAuthorRaw=Fl%C3%BCgel%2C+Wolfgang-Albert" TargetMode="External"/><Relationship Id="rId3" Type="http://schemas.openxmlformats.org/officeDocument/2006/relationships/webSettings" Target="webSettings.xml"/><Relationship Id="rId7" Type="http://schemas.openxmlformats.org/officeDocument/2006/relationships/hyperlink" Target="https://onlinelibrary.wiley.com/action/doSearch?ContribAuthorRaw=Freer%2C+Jim" TargetMode="External"/><Relationship Id="rId12" Type="http://schemas.openxmlformats.org/officeDocument/2006/relationships/hyperlink" Target="https://onlinelibrary.wiley.com/action/doSearch?ContribAuthorRaw=Nauditt%2C+Alexandra"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onlinelibrary.wiley.com/action/doSearch?ContribAuthorRaw=Laux%2C+Patrick" TargetMode="External"/><Relationship Id="rId11" Type="http://schemas.openxmlformats.org/officeDocument/2006/relationships/hyperlink" Target="https://onlinelibrary.wiley.com/action/doSearch?ContribAuthorRaw=Cullmann%2C+Johannes" TargetMode="External"/><Relationship Id="rId5" Type="http://schemas.openxmlformats.org/officeDocument/2006/relationships/hyperlink" Target="https://onlinelibrary.wiley.com/action/doSearch?ContribAuthorRaw=Souvignet%2C+Maxime" TargetMode="External"/><Relationship Id="rId15" Type="http://schemas.openxmlformats.org/officeDocument/2006/relationships/hyperlink" Target="https://onlinelibrary.wiley.com/action/doSearch?ContribAuthorRaw=Ribbe%2C+Lars" TargetMode="External"/><Relationship Id="rId10" Type="http://schemas.openxmlformats.org/officeDocument/2006/relationships/hyperlink" Target="https://onlinelibrary.wiley.com/action/doSearch?ContribAuthorRaw=Thuc%2C+Tran" TargetMode="External"/><Relationship Id="rId4" Type="http://schemas.openxmlformats.org/officeDocument/2006/relationships/image" Target="media/image1.png"/><Relationship Id="rId9" Type="http://schemas.openxmlformats.org/officeDocument/2006/relationships/hyperlink" Target="https://onlinelibrary.wiley.com/action/doSearch?ContribAuthorRaw=Thinh%2C+Dang+Quang" TargetMode="External"/><Relationship Id="rId14" Type="http://schemas.openxmlformats.org/officeDocument/2006/relationships/hyperlink" Target="https://onlinelibrary.wiley.com/action/doSearch?ContribAuthorRaw=Kunstmann%2C+Harald"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941</Words>
  <Characters>5933</Characters>
  <Application>Microsoft Office Word</Application>
  <DocSecurity>0</DocSecurity>
  <Lines>49</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Hauser</dc:creator>
  <cp:keywords/>
  <dc:description/>
  <cp:lastModifiedBy>Joel Hauser</cp:lastModifiedBy>
  <cp:revision>7</cp:revision>
  <dcterms:created xsi:type="dcterms:W3CDTF">2022-04-20T14:34:00Z</dcterms:created>
  <dcterms:modified xsi:type="dcterms:W3CDTF">2022-04-25T11:13:00Z</dcterms:modified>
</cp:coreProperties>
</file>