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Arial" w:cs="Arial" w:eastAsia="Arial" w:hAnsi="Arial"/>
          <w:b/>
          <w:bCs/>
          <w:color w:val="060810"/>
          <w:sz w:val="48"/>
          <w:szCs w:val="48"/>
        </w:rPr>
        <w:t xml:space="preserve">AI MEDIA AGENCY</w:t>
      </w:r>
    </w:p>
    <w:p>
      <w:pPr>
        <w:spacing w:after="20" w:before="0"/>
        <w:jc w:val="center"/>
      </w:pPr>
      <w:r>
        <w:rPr>
          <w:rFonts w:ascii="Arial" w:cs="Arial" w:eastAsia="Arial" w:hAnsi="Arial"/>
          <w:i/>
          <w:iCs/>
          <w:color w:val="888888"/>
          <w:sz w:val="22"/>
          <w:szCs w:val="22"/>
        </w:rPr>
        <w:t xml:space="preserve">A Monkey Matters LLC Production</w:t>
      </w:r>
    </w:p>
    <w:p>
      <w:pPr>
        <w:pBdr>
          <w:bottom w:val="single" w:color="00D9F5" w:sz="8"/>
        </w:pBdr>
        <w:spacing w:after="40" w:before="40"/>
        <w:jc w:val="center"/>
      </w:pPr>
    </w:p>
    <w:p>
      <w:pPr>
        <w:spacing w:after="40" w:before="80"/>
        <w:jc w:val="center"/>
      </w:pPr>
      <w:r>
        <w:rPr>
          <w:rFonts w:ascii="Arial" w:cs="Arial" w:eastAsia="Arial" w:hAnsi="Arial"/>
          <w:b/>
          <w:bCs/>
          <w:color w:val="060810"/>
          <w:sz w:val="34"/>
          <w:szCs w:val="34"/>
        </w:rPr>
        <w:t xml:space="preserve">EXECUTIVE PRODUCER PARTNERSHIP AGREEMENT</w:t>
      </w:r>
    </w:p>
    <w:p>
      <w:pPr>
        <w:spacing w:after="40" w:before="20"/>
        <w:jc w:val="center"/>
      </w:pPr>
      <w:r>
        <w:rPr>
          <w:rFonts w:ascii="Arial" w:cs="Arial" w:eastAsia="Arial" w:hAnsi="Arial"/>
          <w:i/>
          <w:iCs/>
          <w:color w:val="888888"/>
          <w:sz w:val="20"/>
          <w:szCs w:val="20"/>
        </w:rPr>
        <w:t xml:space="preserve">Independent Business Partnership — Not an Employment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160"/>
              <w:left w:type="dxa" w:w="200"/>
              <w:bottom w:type="dxa" w:w="160"/>
              <w:right w:type="dxa" w:w="200"/>
            </w:tcMar>
          </w:tcPr>
          <w:p>
            <w:pPr>
              <w:spacing w:after="40" w:before="40"/>
            </w:pPr>
            <w:r>
              <w:rPr>
                <w:rFonts w:ascii="Arial" w:cs="Arial" w:eastAsia="Arial" w:hAnsi="Arial"/>
                <w:b/>
                <w:bCs/>
                <w:color w:val="060810"/>
                <w:sz w:val="20"/>
                <w:szCs w:val="20"/>
              </w:rPr>
              <w:t xml:space="preserve">PARTIES TO THIS AGREEMENT</w:t>
            </w:r>
          </w:p>
          <w:p>
            <w:pPr>
              <w:spacing w:after="0" w:before="20"/>
            </w:pPr>
          </w:p>
          <w:p>
            <w:pPr>
              <w:spacing w:after="40" w:before="60"/>
            </w:pPr>
            <w:r>
              <w:rPr>
                <w:rFonts w:ascii="Arial" w:cs="Arial" w:eastAsia="Arial" w:hAnsi="Arial"/>
                <w:b/>
                <w:bCs/>
                <w:color w:val="060810"/>
                <w:sz w:val="22"/>
                <w:szCs w:val="22"/>
              </w:rPr>
              <w:t xml:space="preserve">COMPANY: </w:t>
            </w:r>
            <w:r>
              <w:rPr>
                <w:rFonts w:ascii="Arial" w:cs="Arial" w:eastAsia="Arial" w:hAnsi="Arial"/>
                <w:color w:val="444444"/>
                <w:sz w:val="22"/>
                <w:szCs w:val="22"/>
              </w:rPr>
              <w:t xml:space="preserve">Monkey Matters LLC, operating as AI Media Agency ("AIMA")</w:t>
            </w:r>
          </w:p>
          <w:p>
            <w:pPr>
              <w:spacing w:after="40" w:before="60"/>
            </w:pPr>
            <w:r>
              <w:rPr>
                <w:rFonts w:ascii="Arial" w:cs="Arial" w:eastAsia="Arial" w:hAnsi="Arial"/>
                <w:b/>
                <w:bCs/>
                <w:color w:val="060810"/>
                <w:sz w:val="22"/>
                <w:szCs w:val="22"/>
              </w:rPr>
              <w:t xml:space="preserve">Address: </w:t>
            </w:r>
            <w:r>
              <w:rPr>
                <w:rFonts w:ascii="Arial" w:cs="Arial" w:eastAsia="Arial" w:hAnsi="Arial"/>
                <w:color w:val="444444"/>
                <w:sz w:val="22"/>
                <w:szCs w:val="22"/>
              </w:rPr>
              <w:t xml:space="preserve">[Company Address], California, United States</w:t>
            </w:r>
          </w:p>
          <w:p>
            <w:pPr>
              <w:spacing w:after="40" w:before="60"/>
            </w:pPr>
            <w:r>
              <w:rPr>
                <w:rFonts w:ascii="Arial" w:cs="Arial" w:eastAsia="Arial" w:hAnsi="Arial"/>
                <w:b/>
                <w:bCs/>
                <w:color w:val="060810"/>
                <w:sz w:val="22"/>
                <w:szCs w:val="22"/>
              </w:rPr>
              <w:t xml:space="preserve">Website: </w:t>
            </w:r>
            <w:r>
              <w:rPr>
                <w:rFonts w:ascii="Arial" w:cs="Arial" w:eastAsia="Arial" w:hAnsi="Arial"/>
                <w:color w:val="444444"/>
                <w:sz w:val="22"/>
                <w:szCs w:val="22"/>
              </w:rPr>
              <w:t xml:space="preserve">joselitosering.github.io/aima</w:t>
            </w:r>
          </w:p>
          <w:p>
            <w:pPr>
              <w:spacing w:after="0" w:before="20"/>
            </w:pPr>
          </w:p>
          <w:p>
            <w:pPr>
              <w:spacing w:after="40" w:before="60"/>
            </w:pPr>
            <w:r>
              <w:rPr>
                <w:rFonts w:ascii="Arial" w:cs="Arial" w:eastAsia="Arial" w:hAnsi="Arial"/>
                <w:b/>
                <w:bCs/>
                <w:color w:val="060810"/>
                <w:sz w:val="22"/>
                <w:szCs w:val="22"/>
              </w:rPr>
              <w:t xml:space="preserve">EXECUTIVE PRODUCER: </w:t>
            </w:r>
            <w:r>
              <w:rPr>
                <w:rFonts w:ascii="Arial" w:cs="Arial" w:eastAsia="Arial" w:hAnsi="Arial"/>
                <w:color w:val="444444"/>
                <w:sz w:val="22"/>
                <w:szCs w:val="22"/>
              </w:rPr>
              <w:t xml:space="preserve">___________________________________________  ("EP")</w:t>
            </w:r>
          </w:p>
          <w:p>
            <w:pPr>
              <w:spacing w:after="40" w:before="60"/>
            </w:pPr>
            <w:r>
              <w:rPr>
                <w:rFonts w:ascii="Arial" w:cs="Arial" w:eastAsia="Arial" w:hAnsi="Arial"/>
                <w:b/>
                <w:bCs/>
                <w:color w:val="060810"/>
                <w:sz w:val="22"/>
                <w:szCs w:val="22"/>
              </w:rPr>
              <w:t xml:space="preserve">Business Entity Name: </w:t>
            </w:r>
            <w:r>
              <w:rPr>
                <w:rFonts w:ascii="Arial" w:cs="Arial" w:eastAsia="Arial" w:hAnsi="Arial"/>
                <w:color w:val="444444"/>
                <w:sz w:val="22"/>
                <w:szCs w:val="22"/>
              </w:rPr>
              <w:t xml:space="preserve">___________________________________________</w:t>
            </w:r>
          </w:p>
          <w:p>
            <w:pPr>
              <w:spacing w:after="40" w:before="60"/>
            </w:pPr>
            <w:r>
              <w:rPr>
                <w:rFonts w:ascii="Arial" w:cs="Arial" w:eastAsia="Arial" w:hAnsi="Arial"/>
                <w:b/>
                <w:bCs/>
                <w:color w:val="060810"/>
                <w:sz w:val="22"/>
                <w:szCs w:val="22"/>
              </w:rPr>
              <w:t xml:space="preserve">Business Entity Type: </w:t>
            </w:r>
            <w:r>
              <w:rPr>
                <w:rFonts w:ascii="Arial" w:cs="Arial" w:eastAsia="Arial" w:hAnsi="Arial"/>
                <w:color w:val="444444"/>
                <w:sz w:val="22"/>
                <w:szCs w:val="22"/>
              </w:rPr>
              <w:t xml:space="preserve">[ ] LLC   [ ] Sole Proprietor   [ ] Corporation   [ ] Partnership</w:t>
            </w:r>
          </w:p>
          <w:p>
            <w:pPr>
              <w:spacing w:after="40" w:before="60"/>
            </w:pPr>
            <w:r>
              <w:rPr>
                <w:rFonts w:ascii="Arial" w:cs="Arial" w:eastAsia="Arial" w:hAnsi="Arial"/>
                <w:b/>
                <w:bCs/>
                <w:color w:val="060810"/>
                <w:sz w:val="22"/>
                <w:szCs w:val="22"/>
              </w:rPr>
              <w:t xml:space="preserve">Address: </w:t>
            </w:r>
            <w:r>
              <w:rPr>
                <w:rFonts w:ascii="Arial" w:cs="Arial" w:eastAsia="Arial" w:hAnsi="Arial"/>
                <w:color w:val="444444"/>
                <w:sz w:val="22"/>
                <w:szCs w:val="22"/>
              </w:rPr>
              <w:t xml:space="preserve">___________________________________________</w:t>
            </w:r>
          </w:p>
          <w:p>
            <w:pPr>
              <w:spacing w:after="40" w:before="60"/>
            </w:pPr>
            <w:r>
              <w:rPr>
                <w:rFonts w:ascii="Arial" w:cs="Arial" w:eastAsia="Arial" w:hAnsi="Arial"/>
                <w:b/>
                <w:bCs/>
                <w:color w:val="060810"/>
                <w:sz w:val="22"/>
                <w:szCs w:val="22"/>
              </w:rPr>
              <w:t xml:space="preserve">Email: </w:t>
            </w:r>
            <w:r>
              <w:rPr>
                <w:rFonts w:ascii="Arial" w:cs="Arial" w:eastAsia="Arial" w:hAnsi="Arial"/>
                <w:color w:val="444444"/>
                <w:sz w:val="22"/>
                <w:szCs w:val="22"/>
              </w:rPr>
              <w:t xml:space="preserve">___________________________________________</w:t>
            </w:r>
          </w:p>
          <w:p>
            <w:pPr>
              <w:spacing w:after="40" w:before="60"/>
            </w:pPr>
            <w:r>
              <w:rPr>
                <w:rFonts w:ascii="Arial" w:cs="Arial" w:eastAsia="Arial" w:hAnsi="Arial"/>
                <w:b/>
                <w:bCs/>
                <w:color w:val="060810"/>
                <w:sz w:val="22"/>
                <w:szCs w:val="22"/>
              </w:rPr>
              <w:t xml:space="preserve">Tax ID / EIN: </w:t>
            </w:r>
            <w:r>
              <w:rPr>
                <w:rFonts w:ascii="Arial" w:cs="Arial" w:eastAsia="Arial" w:hAnsi="Arial"/>
                <w:color w:val="444444"/>
                <w:sz w:val="22"/>
                <w:szCs w:val="22"/>
              </w:rPr>
              <w:t xml:space="preserve">___________________________________________</w:t>
            </w:r>
          </w:p>
          <w:p>
            <w:pPr>
              <w:spacing w:after="0" w:before="20"/>
            </w:pPr>
          </w:p>
          <w:p>
            <w:pPr>
              <w:spacing w:after="40" w:before="60"/>
            </w:pPr>
            <w:r>
              <w:rPr>
                <w:rFonts w:ascii="Arial" w:cs="Arial" w:eastAsia="Arial" w:hAnsi="Arial"/>
                <w:b/>
                <w:bCs/>
                <w:color w:val="060810"/>
                <w:sz w:val="22"/>
                <w:szCs w:val="22"/>
              </w:rPr>
              <w:t xml:space="preserve">Effective Date: </w:t>
            </w:r>
            <w:r>
              <w:rPr>
                <w:rFonts w:ascii="Arial" w:cs="Arial" w:eastAsia="Arial" w:hAnsi="Arial"/>
                <w:color w:val="444444"/>
                <w:sz w:val="22"/>
                <w:szCs w:val="22"/>
              </w:rPr>
              <w:t xml:space="preserve">_______________________</w:t>
            </w:r>
          </w:p>
          <w:p>
            <w:pPr>
              <w:spacing w:after="40" w:before="60"/>
            </w:pPr>
            <w:r>
              <w:rPr>
                <w:rFonts w:ascii="Arial" w:cs="Arial" w:eastAsia="Arial" w:hAnsi="Arial"/>
                <w:b/>
                <w:bCs/>
                <w:color w:val="060810"/>
                <w:sz w:val="22"/>
                <w:szCs w:val="22"/>
              </w:rPr>
              <w:t xml:space="preserve">Agreement Reference No.: </w:t>
            </w:r>
            <w:r>
              <w:rPr>
                <w:rFonts w:ascii="Arial" w:cs="Arial" w:eastAsia="Arial" w:hAnsi="Arial"/>
                <w:color w:val="444444"/>
                <w:sz w:val="22"/>
                <w:szCs w:val="22"/>
              </w:rPr>
              <w:t xml:space="preserve">AIMA-EP-_______</w:t>
            </w:r>
          </w:p>
        </w:tc>
      </w:tr>
    </w:tbl>
    <w:p>
      <w:pPr>
        <w:spacing w:after="0" w:before="0"/>
      </w:pPr>
    </w:p>
    <w:p>
      <w:pPr>
        <w:pBdr>
          <w:bottom w:val="single" w:color="DDDDDD" w:sz="2"/>
        </w:pBdr>
        <w:spacing w:after="0" w:before="0"/>
      </w:pPr>
    </w:p>
    <w:p>
      <w:pPr>
        <w:spacing w:after="0" w:before="0"/>
      </w:pPr>
    </w:p>
    <w:p>
      <w:pPr>
        <w:pStyle w:val="Heading1"/>
        <w:keepNext/>
        <w:pBdr>
          <w:bottom w:val="single" w:color="00D9F5" w:sz="6" w:space="6"/>
        </w:pBdr>
        <w:spacing w:after="120" w:before="80"/>
      </w:pPr>
      <w:r>
        <w:rPr>
          <w:rFonts w:ascii="Arial" w:cs="Arial" w:eastAsia="Arial" w:hAnsi="Arial"/>
          <w:b/>
          <w:bCs/>
          <w:color w:val="060810"/>
          <w:sz w:val="26"/>
          <w:szCs w:val="26"/>
        </w:rPr>
        <w:t xml:space="preserve">RECITALS</w:t>
      </w:r>
    </w:p>
    <w:p>
      <w:pPr>
        <w:spacing w:after="80" w:before="80"/>
        <w:jc w:val="both"/>
      </w:pPr>
      <w:r>
        <w:rPr>
          <w:rFonts w:ascii="Arial" w:cs="Arial" w:eastAsia="Arial" w:hAnsi="Arial"/>
          <w:color w:val="444444"/>
          <w:sz w:val="22"/>
          <w:szCs w:val="22"/>
        </w:rPr>
        <w:t xml:space="preserve">WHEREAS, AIMA is a creative engineering company specializing in AI-native media production including video, music, animation, and broadcast content delivered under the brand "AI Media Agency" and owned by Monkey Matters LLC, a limited liability company organized under the laws of the State of California;</w:t>
      </w:r>
    </w:p>
    <w:p>
      <w:pPr>
        <w:spacing w:after="0" w:before="80"/>
      </w:pPr>
    </w:p>
    <w:p>
      <w:pPr>
        <w:spacing w:after="80" w:before="80"/>
        <w:jc w:val="both"/>
      </w:pPr>
      <w:r>
        <w:rPr>
          <w:rFonts w:ascii="Arial" w:cs="Arial" w:eastAsia="Arial" w:hAnsi="Arial"/>
          <w:color w:val="444444"/>
          <w:sz w:val="22"/>
          <w:szCs w:val="22"/>
        </w:rPr>
        <w:t xml:space="preserve">WHEREAS, the Executive Producer ("EP") is an independently established business professional operating under their own business entity, possessing specialized skills, professional networks, and industry relationships applicable to the introduction and development of client opportunities for AIMA;</w:t>
      </w:r>
    </w:p>
    <w:p>
      <w:pPr>
        <w:spacing w:after="0" w:before="80"/>
      </w:pPr>
    </w:p>
    <w:p>
      <w:pPr>
        <w:spacing w:after="80" w:before="80"/>
        <w:jc w:val="both"/>
      </w:pPr>
      <w:r>
        <w:rPr>
          <w:rFonts w:ascii="Arial" w:cs="Arial" w:eastAsia="Arial" w:hAnsi="Arial"/>
          <w:color w:val="444444"/>
          <w:sz w:val="22"/>
          <w:szCs w:val="22"/>
        </w:rPr>
        <w:t xml:space="preserve">WHEREAS, the Parties wish to enter into an independent business partnership whereby the EP introduces prospective clients to AIMA and earns compensation in the form of a markup authority, a 24-month client revenue royalty, and milestone bonuses, as further described herein;</w:t>
      </w:r>
    </w:p>
    <w:p>
      <w:pPr>
        <w:spacing w:after="0" w:before="80"/>
      </w:pPr>
    </w:p>
    <w:p>
      <w:pPr>
        <w:spacing w:after="80" w:before="80"/>
        <w:jc w:val="both"/>
      </w:pPr>
      <w:r>
        <w:rPr>
          <w:rFonts w:ascii="Arial" w:cs="Arial" w:eastAsia="Arial" w:hAnsi="Arial"/>
          <w:color w:val="444444"/>
          <w:sz w:val="22"/>
          <w:szCs w:val="22"/>
        </w:rPr>
        <w:t xml:space="preserve">NOW, THEREFORE, in consideration of the mutual covenants, representations, and agreements set forth herein, and for other good and valuable consideration, the receipt and sufficiency of which are hereby acknowledged, the Parties agree as follows:</w:t>
      </w:r>
    </w:p>
    <w:p>
      <w:pPr>
        <w:spacing w:after="0" w:before="200"/>
      </w:pPr>
    </w:p>
    <w:p>
      <w:pPr>
        <w:pBdr>
          <w:bottom w:val="single" w:color="DDDDDD" w:sz="2"/>
        </w:pBdr>
        <w:spacing w:after="80" w:before="80"/>
      </w:pPr>
    </w:p>
    <w:p>
      <w:pPr>
        <w:spacing w:after="0" w:before="200"/>
      </w:pPr>
    </w:p>
    <w:p>
      <w:pPr>
        <w:pStyle w:val="Heading1"/>
        <w:keepNext/>
        <w:pBdr>
          <w:bottom w:val="single" w:color="00D9F5" w:sz="6" w:space="6"/>
        </w:pBdr>
        <w:spacing w:after="120" w:before="0"/>
      </w:pPr>
      <w:r>
        <w:rPr>
          <w:rFonts w:ascii="Arial" w:cs="Arial" w:eastAsia="Arial" w:hAnsi="Arial"/>
          <w:b/>
          <w:bCs/>
          <w:color w:val="060810"/>
          <w:sz w:val="26"/>
          <w:szCs w:val="26"/>
        </w:rPr>
        <w:t xml:space="preserve">SECTION 1 — DEFINITIONS</w:t>
      </w:r>
    </w:p>
    <w:p>
      <w:pPr>
        <w:spacing w:after="80" w:before="80"/>
        <w:jc w:val="left"/>
      </w:pPr>
      <w:r>
        <w:rPr>
          <w:rFonts w:ascii="Arial" w:cs="Arial" w:eastAsia="Arial" w:hAnsi="Arial"/>
          <w:color w:val="444444"/>
          <w:sz w:val="22"/>
          <w:szCs w:val="22"/>
        </w:rPr>
        <w:t xml:space="preserve">As used in this Agreement, the following terms shall have the meanings set forth below: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60810"/>
                <w:sz w:val="20"/>
                <w:szCs w:val="20"/>
              </w:rPr>
              <w:t xml:space="preserve">"AIMA"</w:t>
            </w:r>
          </w:p>
        </w:tc>
        <w:tc>
          <w:tcPr>
            <w:tcW w:type="dxa" w:w="63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Monkey Matters LLC and its brand AI Media Agency, including all owners, officers, and agents acting on its behalf.</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60810"/>
                <w:sz w:val="20"/>
                <w:szCs w:val="20"/>
              </w:rPr>
              <w:t xml:space="preserve">"EP" or "Executive Producer"</w:t>
            </w:r>
          </w:p>
        </w:tc>
        <w:tc>
          <w:tcPr>
            <w:tcW w:type="dxa" w:w="6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independent business partner identified on the cover page, acting in their capacity as an independently established business entity.</w:t>
            </w:r>
          </w:p>
        </w:tc>
      </w:tr>
      <w:tr>
        <w:tc>
          <w:tcPr>
            <w:tcW w:type="dxa" w:w="30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60810"/>
                <w:sz w:val="20"/>
                <w:szCs w:val="20"/>
              </w:rPr>
              <w:t xml:space="preserve">"Client"</w:t>
            </w:r>
          </w:p>
        </w:tc>
        <w:tc>
          <w:tcPr>
            <w:tcW w:type="dxa" w:w="63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Any individual, company, or organization introduced to AIMA by the EP that enters into a paid production engagement with AIMA.</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60810"/>
                <w:sz w:val="20"/>
                <w:szCs w:val="20"/>
              </w:rPr>
              <w:t xml:space="preserve">"EP-Introduced Client"</w:t>
            </w:r>
          </w:p>
        </w:tc>
        <w:tc>
          <w:tcPr>
            <w:tcW w:type="dxa" w:w="6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A Client whose initial engagement with AIMA was first facilitated by the EP via written introduction or submitted Project Brief.</w:t>
            </w:r>
          </w:p>
        </w:tc>
      </w:tr>
      <w:tr>
        <w:tc>
          <w:tcPr>
            <w:tcW w:type="dxa" w:w="30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60810"/>
                <w:sz w:val="20"/>
                <w:szCs w:val="20"/>
              </w:rPr>
              <w:t xml:space="preserve">"Base Rate"</w:t>
            </w:r>
          </w:p>
        </w:tc>
        <w:tc>
          <w:tcPr>
            <w:tcW w:type="dxa" w:w="63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AIMA's published or quoted production rate for any given service, as set forth in the current AIMA Rate Card provided to the EP at onboarding.</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60810"/>
                <w:sz w:val="20"/>
                <w:szCs w:val="20"/>
              </w:rPr>
              <w:t xml:space="preserve">"EP Markup"</w:t>
            </w:r>
          </w:p>
        </w:tc>
        <w:tc>
          <w:tcPr>
            <w:tcW w:type="dxa" w:w="6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additional amount, not to exceed twenty percent (20%) of the Base Rate, that the EP may add to the Base Rate when quoting a Client.</w:t>
            </w:r>
          </w:p>
        </w:tc>
      </w:tr>
      <w:tr>
        <w:tc>
          <w:tcPr>
            <w:tcW w:type="dxa" w:w="30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60810"/>
                <w:sz w:val="20"/>
                <w:szCs w:val="20"/>
              </w:rPr>
              <w:t xml:space="preserve">"Client Revenue"</w:t>
            </w:r>
          </w:p>
        </w:tc>
        <w:tc>
          <w:tcPr>
            <w:tcW w:type="dxa" w:w="63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The net amount actually collected by AIMA from an EP-Introduced Client for production services, after any refunds or chargebacks, excluding applicable taxes.</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60810"/>
                <w:sz w:val="20"/>
                <w:szCs w:val="20"/>
              </w:rPr>
              <w:t xml:space="preserve">"Royalty"</w:t>
            </w:r>
          </w:p>
        </w:tc>
        <w:tc>
          <w:tcPr>
            <w:tcW w:type="dxa" w:w="6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percentage of Client Revenue payable to the EP as set forth in Section 4 of this Agreement.</w:t>
            </w:r>
          </w:p>
        </w:tc>
      </w:tr>
      <w:tr>
        <w:tc>
          <w:tcPr>
            <w:tcW w:type="dxa" w:w="30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60810"/>
                <w:sz w:val="20"/>
                <w:szCs w:val="20"/>
              </w:rPr>
              <w:t xml:space="preserve">"Project Brief"</w:t>
            </w:r>
          </w:p>
        </w:tc>
        <w:tc>
          <w:tcPr>
            <w:tcW w:type="dxa" w:w="63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The written intake document submitted by the EP to AIMA summarizing the Client's production needs, budget, and timeline.</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60810"/>
                <w:sz w:val="20"/>
                <w:szCs w:val="20"/>
              </w:rPr>
              <w:t xml:space="preserve">"Rate Card"</w:t>
            </w:r>
          </w:p>
        </w:tc>
        <w:tc>
          <w:tcPr>
            <w:tcW w:type="dxa" w:w="6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AIMA's current schedule of Base Rates for all production services, provided to the EP at onboarding and updated from time to time.</w:t>
            </w:r>
          </w:p>
        </w:tc>
      </w:tr>
      <w:tr>
        <w:tc>
          <w:tcPr>
            <w:tcW w:type="dxa" w:w="30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60810"/>
                <w:sz w:val="20"/>
                <w:szCs w:val="20"/>
              </w:rPr>
              <w:t xml:space="preserve">"Term"</w:t>
            </w:r>
          </w:p>
        </w:tc>
        <w:tc>
          <w:tcPr>
            <w:tcW w:type="dxa" w:w="63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The period during which this Agreement is in effect, as defined in Section 10.</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60810"/>
                <w:sz w:val="20"/>
                <w:szCs w:val="20"/>
              </w:rPr>
              <w:t xml:space="preserve">"Confidential Information"</w:t>
            </w:r>
          </w:p>
        </w:tc>
        <w:tc>
          <w:tcPr>
            <w:tcW w:type="dxa" w:w="6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non-public information, materials, pricing, client data, production workflows, and business strategies disclosed by either Party.</w:t>
            </w:r>
          </w:p>
        </w:tc>
      </w:tr>
    </w:tbl>
    <w:p>
      <w:pPr>
        <w:spacing w:after="0" w:before="200"/>
      </w:pPr>
    </w:p>
    <w:p>
      <w:pPr>
        <w:pBdr>
          <w:bottom w:val="single" w:color="DDDDDD" w:sz="2"/>
        </w:pBdr>
        <w:spacing w:after="80" w:before="80"/>
      </w:pPr>
    </w:p>
    <w:p>
      <w:pPr>
        <w:spacing w:after="0" w:before="200"/>
      </w:pPr>
    </w:p>
    <w:p>
      <w:pPr>
        <w:pStyle w:val="Heading1"/>
        <w:pageBreakBefore/>
        <w:keepNext/>
        <w:pBdr>
          <w:bottom w:val="single" w:color="00D9F5" w:sz="6" w:space="6"/>
        </w:pBdr>
        <w:spacing w:after="120" w:before="0"/>
      </w:pPr>
      <w:r>
        <w:rPr>
          <w:rFonts w:ascii="Arial" w:cs="Arial" w:eastAsia="Arial" w:hAnsi="Arial"/>
          <w:b/>
          <w:bCs/>
          <w:color w:val="060810"/>
          <w:sz w:val="26"/>
          <w:szCs w:val="26"/>
        </w:rPr>
        <w:t xml:space="preserve">SECTION 2 — NATURE OF THE RELATIONSHIP</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2.1  Independent Business Partnership. </w:t>
      </w:r>
      <w:r>
        <w:rPr>
          <w:rFonts w:ascii="Arial" w:cs="Arial" w:eastAsia="Arial" w:hAnsi="Arial"/>
          <w:color w:val="444444"/>
          <w:sz w:val="22"/>
          <w:szCs w:val="22"/>
        </w:rPr>
        <w:t xml:space="preserve">This Agreement establishes an independent business partnership between AIMA and the EP. The EP is NOT an employee, agent, joint venture partner, franchisee, or legal representative of AIMA. Nothing in this Agreement shall be construed to create an employer-employee relationship between AIMA and the EP.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160"/>
              <w:left w:type="dxa" w:w="200"/>
              <w:bottom w:type="dxa" w:w="160"/>
              <w:right w:type="dxa" w:w="200"/>
            </w:tcMar>
          </w:tcPr>
          <w:p>
            <w:pPr>
              <w:spacing w:after="40" w:before="60"/>
            </w:pPr>
            <w:r>
              <w:rPr>
                <w:rFonts w:ascii="Arial" w:cs="Arial" w:eastAsia="Arial" w:hAnsi="Arial"/>
                <w:b/>
                <w:bCs/>
                <w:color w:val="060810"/>
                <w:sz w:val="20"/>
                <w:szCs w:val="20"/>
              </w:rPr>
              <w:t xml:space="preserve">AB5 / California Labor Code Compliance Notice</w:t>
            </w:r>
          </w:p>
          <w:p>
            <w:pPr>
              <w:spacing w:after="60" w:before="40"/>
              <w:jc w:val="both"/>
            </w:pPr>
            <w:r>
              <w:rPr>
                <w:rFonts w:ascii="Arial" w:cs="Arial" w:eastAsia="Arial" w:hAnsi="Arial"/>
                <w:color w:val="444444"/>
                <w:sz w:val="19"/>
                <w:szCs w:val="19"/>
              </w:rPr>
              <w:t>This Agreement is structured to qualify for the Business-to-Business (B2B) exemption under California Assembly Bill 5 (AB5), codified in California Labor Code §2776. To maintain compliance, the EP must: (i) operate as a validly formed business entity; (ii) be free from AIMA control and direction; (iii) maintain a separate business location; (iv) hold required licenses; (v) regularly contract with other clients; (vi) be able to subcontract; (vii) invest in own tools; (viii) hold out as an independent business; (ix) have profit/loss opportunity; (x) perform services consistent with independently established trade; (xi) not require a CSLB license; and (xii) operate under a written contract with payment terms. Classification is under Cal. Labor Code §2778 (professional services) and §2776 (B2B), evaluated under the Borello test (48 Cal.3d 341, 1989).</w:t>
            </w:r>
          </w:p>
        </w:tc>
      </w:tr>
    </w:tbl>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2.2  No Control or Direction. </w:t>
      </w:r>
      <w:r>
        <w:rPr>
          <w:rFonts w:ascii="Arial" w:cs="Arial" w:eastAsia="Arial" w:hAnsi="Arial"/>
          <w:color w:val="444444"/>
          <w:sz w:val="22"/>
          <w:szCs w:val="22"/>
        </w:rPr>
        <w:t xml:space="preserve">AIMA shall not control or direct the manner, means, timing, or methods by which the EP performs business development activities. The EP determines their own schedule, approach, territory, and sales strategy without oversight or direction from AIMA.</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2.3  No Exclusivity. </w:t>
      </w:r>
      <w:r>
        <w:rPr>
          <w:rFonts w:ascii="Arial" w:cs="Arial" w:eastAsia="Arial" w:hAnsi="Arial"/>
          <w:color w:val="444444"/>
          <w:sz w:val="22"/>
          <w:szCs w:val="22"/>
        </w:rPr>
        <w:t xml:space="preserve">This Agreement is non-exclusive. The EP may perform similar services for other companies, agencies, clients, and businesses without restriction, provided they do not breach Section 8 (Confidentiality) or Section 9 (Non-Solicitation) of this Agreement.</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2.4  No Benefits. </w:t>
      </w:r>
      <w:r>
        <w:rPr>
          <w:rFonts w:ascii="Arial" w:cs="Arial" w:eastAsia="Arial" w:hAnsi="Arial"/>
          <w:color w:val="444444"/>
          <w:sz w:val="22"/>
          <w:szCs w:val="22"/>
        </w:rPr>
        <w:t xml:space="preserve">The EP is not entitled to, and AIMA shall not provide, any employment benefits including health insurance, workers' compensation, unemployment insurance, paid time off, retirement benefits, or any other employee benefit. The EP is solely responsible for their own insurance and benefits.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2.5  No Equipment or Tools Provided. </w:t>
      </w:r>
      <w:r>
        <w:rPr>
          <w:rFonts w:ascii="Arial" w:cs="Arial" w:eastAsia="Arial" w:hAnsi="Arial"/>
          <w:color w:val="444444"/>
          <w:sz w:val="22"/>
          <w:szCs w:val="22"/>
        </w:rPr>
        <w:t xml:space="preserve">AIMA shall not provide the EP with equipment, software, a workspace, or other tools necessary to perform their business development activities. The EP is responsible for their own tools and resources.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2.6  Separate Business Entity Required. </w:t>
      </w:r>
      <w:r>
        <w:rPr>
          <w:rFonts w:ascii="Arial" w:cs="Arial" w:eastAsia="Arial" w:hAnsi="Arial"/>
          <w:color w:val="444444"/>
          <w:sz w:val="22"/>
          <w:szCs w:val="22"/>
        </w:rPr>
        <w:t xml:space="preserve">The EP represents and warrants that they are operating through a validly formed business entity (LLC, corporation, sole proprietorship, or partnership) and maintain a business location separate from AIMA. The EP shall provide AIMA with evidence of their business entity status upon request.</w:t>
      </w:r>
    </w:p>
    <w:p>
      <w:pPr>
        <w:spacing w:after="0" w:before="200"/>
      </w:pPr>
    </w:p>
    <w:p>
      <w:pPr>
        <w:pBdr>
          <w:bottom w:val="single" w:color="DDDDDD" w:sz="2"/>
        </w:pBdr>
        <w:spacing w:after="80" w:before="80"/>
      </w:pPr>
    </w:p>
    <w:p>
      <w:pPr>
        <w:spacing w:after="0" w:before="200"/>
      </w:pPr>
    </w:p>
    <w:p>
      <w:pPr>
        <w:pStyle w:val="Heading1"/>
        <w:pageBreakBefore/>
        <w:keepNext/>
        <w:pBdr>
          <w:bottom w:val="single" w:color="00D9F5" w:sz="6" w:space="6"/>
        </w:pBdr>
        <w:spacing w:after="120" w:before="0"/>
      </w:pPr>
      <w:r>
        <w:rPr>
          <w:rFonts w:ascii="Arial" w:cs="Arial" w:eastAsia="Arial" w:hAnsi="Arial"/>
          <w:b/>
          <w:bCs/>
          <w:color w:val="060810"/>
          <w:sz w:val="26"/>
          <w:szCs w:val="26"/>
        </w:rPr>
        <w:t xml:space="preserve">SECTION 3 — EP RESPONSIBILITIES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3.1  Client Introduction. </w:t>
      </w:r>
      <w:r>
        <w:rPr>
          <w:rFonts w:ascii="Arial" w:cs="Arial" w:eastAsia="Arial" w:hAnsi="Arial"/>
          <w:color w:val="444444"/>
          <w:sz w:val="22"/>
          <w:szCs w:val="22"/>
        </w:rPr>
        <w:t xml:space="preserve">The EP shall introduce prospective Clients to AIMA through submission of a completed Project Brief. Client introductions must be made in writing via the AIMA Project Brief form. A Client is considered "EP-Introduced" only if the EP has submitted a Project Brief on the Client's behalf before AIMA has independently initiated contact with that Client.</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3.2  Accurate Representation. </w:t>
      </w:r>
      <w:r>
        <w:rPr>
          <w:rFonts w:ascii="Arial" w:cs="Arial" w:eastAsia="Arial" w:hAnsi="Arial"/>
          <w:color w:val="444444"/>
          <w:sz w:val="22"/>
          <w:szCs w:val="22"/>
        </w:rPr>
        <w:t xml:space="preserve">The EP shall accurately represent AIMA's services, capabilities, turnaround times, and pricing to prospective Clients using only AIMA-approved materials. The EP shall not make representations, promises, warranties, or guarantees to Clients that exceed or conflict with AIMA's published service descriptions and Rate Card.</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3.3  Rate Card Compliance. </w:t>
      </w:r>
      <w:r>
        <w:rPr>
          <w:rFonts w:ascii="Arial" w:cs="Arial" w:eastAsia="Arial" w:hAnsi="Arial"/>
          <w:color w:val="444444"/>
          <w:sz w:val="22"/>
          <w:szCs w:val="22"/>
        </w:rPr>
        <w:t xml:space="preserve">The EP may quote any price to a Client that is at or above AIMA's Base Rate, up to a maximum markup of twenty percent (20%) over the Base Rate. The EP shall not quote prices to Clients that are below AIMA's Base Rate without prior written approval from AIMA.</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3.4  Project Brief Submission. </w:t>
      </w:r>
      <w:r>
        <w:rPr>
          <w:rFonts w:ascii="Arial" w:cs="Arial" w:eastAsia="Arial" w:hAnsi="Arial"/>
          <w:color w:val="444444"/>
          <w:sz w:val="22"/>
          <w:szCs w:val="22"/>
        </w:rPr>
        <w:t xml:space="preserve">Prior to any production beginning, the EP shall submit a completed Project Brief containing the Client's name, contact information, project scope, desired timeline, and approved budget. AIMA shall not be obligated to commence production on any project for which no Project Brief has been received.</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3.5  Professional Conduct. </w:t>
      </w:r>
      <w:r>
        <w:rPr>
          <w:rFonts w:ascii="Arial" w:cs="Arial" w:eastAsia="Arial" w:hAnsi="Arial"/>
          <w:color w:val="444444"/>
          <w:sz w:val="22"/>
          <w:szCs w:val="22"/>
        </w:rPr>
        <w:t xml:space="preserve">The EP shall conduct all client-facing activities in a professional manner consistent with AIMA's brand standards and guidelines. The EP shall not engage in any conduct that could damage AIMA's reputation, business relationships, or intellectual property.</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3.6  Tax and Regulatory Compliance. </w:t>
      </w:r>
      <w:r>
        <w:rPr>
          <w:rFonts w:ascii="Arial" w:cs="Arial" w:eastAsia="Arial" w:hAnsi="Arial"/>
          <w:color w:val="444444"/>
          <w:sz w:val="22"/>
          <w:szCs w:val="22"/>
        </w:rPr>
        <w:t xml:space="preserve">The EP is solely responsible for all federal, state, and local taxes, fees, and assessments arising from income earned under this Agreement, including self-employment taxes. The EP shall obtain and maintain all required business licenses, permits, and registrations applicable to their operations.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3.7  W-9 Submission. </w:t>
      </w:r>
      <w:r>
        <w:rPr>
          <w:rFonts w:ascii="Arial" w:cs="Arial" w:eastAsia="Arial" w:hAnsi="Arial"/>
          <w:color w:val="444444"/>
          <w:sz w:val="22"/>
          <w:szCs w:val="22"/>
        </w:rPr>
        <w:t xml:space="preserve">Prior to receiving any payment from AIMA, the EP shall complete and submit IRS Form W-9 (Request for Taxpayer Identification Number and Certification). For international EPs, IRS Form W-8BEN or W-8BEN-E shall be required instead. EP acknowledges that failure to submit required tax forms may result in mandatory backup withholding at the rate of 24% as required by federal law.</w:t>
      </w:r>
    </w:p>
    <w:p>
      <w:pPr>
        <w:spacing w:after="0" w:before="200"/>
      </w:pPr>
    </w:p>
    <w:p>
      <w:pPr>
        <w:pBdr>
          <w:bottom w:val="single" w:color="DDDDDD" w:sz="2"/>
        </w:pBdr>
        <w:spacing w:after="80" w:before="80"/>
      </w:pPr>
    </w:p>
    <w:p>
      <w:pPr>
        <w:spacing w:after="0" w:before="200"/>
      </w:pPr>
    </w:p>
    <w:p>
      <w:pPr>
        <w:pStyle w:val="Heading1"/>
        <w:pageBreakBefore/>
        <w:keepNext/>
        <w:pBdr>
          <w:bottom w:val="single" w:color="00D9F5" w:sz="6" w:space="6"/>
        </w:pBdr>
        <w:spacing w:after="120" w:before="0"/>
      </w:pPr>
      <w:r>
        <w:rPr>
          <w:rFonts w:ascii="Arial" w:cs="Arial" w:eastAsia="Arial" w:hAnsi="Arial"/>
          <w:b/>
          <w:bCs/>
          <w:color w:val="060810"/>
          <w:sz w:val="26"/>
          <w:szCs w:val="26"/>
        </w:rPr>
        <w:t xml:space="preserve">SECTION 4 — COMPENSATION</w:t>
      </w:r>
    </w:p>
    <w:p>
      <w:pPr>
        <w:spacing w:after="0" w:before="80"/>
      </w:pPr>
    </w:p>
    <w:p>
      <w:pPr>
        <w:pStyle w:val="Heading2"/>
        <w:keepNext/>
        <w:spacing w:after="80" w:before="160"/>
      </w:pPr>
      <w:r>
        <w:rPr>
          <w:rFonts w:ascii="Arial" w:cs="Arial" w:eastAsia="Arial" w:hAnsi="Arial"/>
          <w:b/>
          <w:bCs/>
          <w:color w:val="060810"/>
          <w:sz w:val="22"/>
          <w:szCs w:val="22"/>
        </w:rPr>
        <w:t xml:space="preserve">4.1  EP Markup Authority</w:t>
      </w:r>
    </w:p>
    <w:p>
      <w:pPr>
        <w:spacing w:after="80" w:before="80"/>
        <w:jc w:val="both"/>
      </w:pPr>
      <w:r>
        <w:rPr>
          <w:rFonts w:ascii="Arial" w:cs="Arial" w:eastAsia="Arial" w:hAnsi="Arial"/>
          <w:color w:val="444444"/>
          <w:sz w:val="22"/>
          <w:szCs w:val="22"/>
        </w:rPr>
        <w:t xml:space="preserve">The EP is authorized to quote AIMA services to Clients at any price above the applicable Base Rate, up to a maximum of twenty percent (20%) above the Base Rate (the "EP Markup"). The EP retains the EP Markup as their own income, to be settled directly with the Client or through the payment arrangement described in Section 4.3.</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160"/>
              <w:left w:type="dxa" w:w="200"/>
              <w:bottom w:type="dxa" w:w="160"/>
              <w:right w:type="dxa" w:w="200"/>
            </w:tcMar>
          </w:tcPr>
          <w:p>
            <w:pPr>
              <w:spacing w:after="40" w:before="60"/>
            </w:pPr>
            <w:r>
              <w:rPr>
                <w:rFonts w:ascii="Arial" w:cs="Arial" w:eastAsia="Arial" w:hAnsi="Arial"/>
                <w:b/>
                <w:bCs/>
                <w:color w:val="060810"/>
                <w:sz w:val="20"/>
                <w:szCs w:val="20"/>
              </w:rPr>
              <w:t xml:space="preserve">Markup Example</w:t>
            </w:r>
          </w:p>
          <w:p>
            <w:pPr>
              <w:spacing w:after="40" w:before="0"/>
            </w:pPr>
            <w:r>
              <w:rPr>
                <w:rFonts w:ascii="Arial" w:cs="Arial" w:eastAsia="Arial" w:hAnsi="Arial"/>
                <w:i/>
                <w:iCs/>
                <w:color w:val="444444"/>
                <w:sz w:val="20"/>
                <w:szCs w:val="20"/>
              </w:rPr>
              <w:t xml:space="preserve">AIMA Base Rate: $3,500 → EP quotes Client: $4,200 (+20%) → EP retains: $700 at point of sale</w:t>
            </w:r>
          </w:p>
        </w:tc>
      </w:tr>
    </w:tbl>
    <w:p>
      <w:pPr>
        <w:spacing w:after="0" w:before="80"/>
      </w:pPr>
    </w:p>
    <w:p>
      <w:pPr>
        <w:pStyle w:val="Heading2"/>
        <w:keepNext/>
        <w:spacing w:after="80" w:before="160"/>
      </w:pPr>
      <w:r>
        <w:rPr>
          <w:rFonts w:ascii="Arial" w:cs="Arial" w:eastAsia="Arial" w:hAnsi="Arial"/>
          <w:b/>
          <w:bCs/>
          <w:color w:val="060810"/>
          <w:sz w:val="22"/>
          <w:szCs w:val="22"/>
        </w:rPr>
        <w:t xml:space="preserve">4.2  24-Month Client Revenue Royalty</w:t>
      </w:r>
    </w:p>
    <w:p>
      <w:pPr>
        <w:spacing w:after="80" w:before="80"/>
        <w:jc w:val="both"/>
      </w:pPr>
      <w:r>
        <w:rPr>
          <w:rFonts w:ascii="Arial" w:cs="Arial" w:eastAsia="Arial" w:hAnsi="Arial"/>
          <w:color w:val="444444"/>
          <w:sz w:val="22"/>
          <w:szCs w:val="22"/>
        </w:rPr>
        <w:t xml:space="preserve">AIMA shall pay the EP a royalty on Client Revenue collected from each EP-Introduced Client in accordance with the following EP Tier schedule. Royalties apply to all Client Revenue collected from an EP-Introduced Client during the twenty-four (24) month period commencing on the date of that Client’s first invoice from AIMA (the “Royalty Window”). Upon expiration of a Client’s Royalty Window, no further royalties shall accrue with respect to that Client. Each Client’s Royalty Window is calculated independently based on that Client’s first invoice date, subject to Section 10.5 (Survival of Royalty Rights).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2"/>
              <w:left w:val="single" w:color="DDDDDD" w:sz="2"/>
              <w:bottom w:val="single" w:color="DDDDDD" w:sz="2"/>
              <w:right w:val="single" w:color="DDDDDD" w:sz="2"/>
            </w:tcBorders>
            <w:shd w:fill="060810" w:val="clear"/>
            <w:tcMar>
              <w:top w:type="dxa" w:w="80"/>
              <w:left w:type="dxa" w:w="120"/>
              <w:bottom w:type="dxa" w:w="80"/>
              <w:right w:type="dxa" w:w="120"/>
            </w:tcMar>
          </w:tcPr>
          <w:p>
            <w:r>
              <w:rPr>
                <w:rFonts w:ascii="Arial" w:cs="Arial" w:eastAsia="Arial" w:hAnsi="Arial"/>
                <w:b/>
                <w:bCs/>
                <w:color w:val="FFFFFF"/>
                <w:sz w:val="20"/>
                <w:szCs w:val="20"/>
              </w:rPr>
              <w:t xml:space="preserve">EP Tier</w:t>
            </w:r>
          </w:p>
        </w:tc>
        <w:tc>
          <w:tcPr>
            <w:tcW w:type="dxa" w:w="3480"/>
            <w:tcBorders>
              <w:top w:val="single" w:color="DDDDDD" w:sz="2"/>
              <w:left w:val="single" w:color="DDDDDD" w:sz="2"/>
              <w:bottom w:val="single" w:color="DDDDDD" w:sz="2"/>
              <w:right w:val="single" w:color="DDDDDD" w:sz="2"/>
            </w:tcBorders>
            <w:shd w:fill="060810" w:val="clear"/>
            <w:tcMar>
              <w:top w:type="dxa" w:w="80"/>
              <w:left w:type="dxa" w:w="120"/>
              <w:bottom w:type="dxa" w:w="80"/>
              <w:right w:type="dxa" w:w="120"/>
            </w:tcMar>
          </w:tcPr>
          <w:p>
            <w:r>
              <w:rPr>
                <w:rFonts w:ascii="Arial" w:cs="Arial" w:eastAsia="Arial" w:hAnsi="Arial"/>
                <w:b/>
                <w:bCs/>
                <w:color w:val="FFFFFF"/>
                <w:sz w:val="20"/>
                <w:szCs w:val="20"/>
              </w:rPr>
              <w:t xml:space="preserve">Lifetime Client Revenue Generated</w:t>
            </w:r>
          </w:p>
        </w:tc>
        <w:tc>
          <w:tcPr>
            <w:tcW w:type="dxa" w:w="3480"/>
            <w:tcBorders>
              <w:top w:val="single" w:color="DDDDDD" w:sz="2"/>
              <w:left w:val="single" w:color="DDDDDD" w:sz="2"/>
              <w:bottom w:val="single" w:color="DDDDDD" w:sz="2"/>
              <w:right w:val="single" w:color="DDDDDD" w:sz="2"/>
            </w:tcBorders>
            <w:shd w:fill="060810" w:val="clear"/>
            <w:tcMar>
              <w:top w:type="dxa" w:w="80"/>
              <w:left w:type="dxa" w:w="120"/>
              <w:bottom w:type="dxa" w:w="80"/>
              <w:right w:type="dxa" w:w="120"/>
            </w:tcMar>
          </w:tcPr>
          <w:p>
            <w:r>
              <w:rPr>
                <w:rFonts w:ascii="Arial" w:cs="Arial" w:eastAsia="Arial" w:hAnsi="Arial"/>
                <w:b/>
                <w:bCs/>
                <w:color w:val="FFFFFF"/>
                <w:sz w:val="20"/>
                <w:szCs w:val="20"/>
              </w:rPr>
              <w:t xml:space="preserve">Royalty Rate on Client Revenue</w:t>
            </w:r>
          </w:p>
        </w:tc>
      </w:tr>
      <w:tr>
        <w:tc>
          <w:tcPr>
            <w:tcW w:type="dxa" w:w="24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Bronze EP</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$0 – $24,999</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10%</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Silver EP</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$25,000 – $74,999</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12%</w:t>
            </w:r>
          </w:p>
        </w:tc>
      </w:tr>
      <w:tr>
        <w:tc>
          <w:tcPr>
            <w:tcW w:type="dxa" w:w="24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Gold EP</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$75,000 and above</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15%</w:t>
            </w:r>
          </w:p>
        </w:tc>
      </w:tr>
    </w:tbl>
    <w:p>
      <w:pPr>
        <w:spacing w:after="0" w:before="80"/>
      </w:pPr>
    </w:p>
    <w:p>
      <w:pPr>
        <w:spacing w:after="80" w:before="80"/>
        <w:jc w:val="left"/>
      </w:pPr>
      <w:r>
        <w:rPr>
          <w:rFonts w:ascii="Arial" w:cs="Arial" w:eastAsia="Arial" w:hAnsi="Arial"/>
          <w:color w:val="444444"/>
          <w:sz w:val="22"/>
          <w:szCs w:val="22"/>
        </w:rPr>
        <w:t xml:space="preserve">Tier upgrades are evaluated quarterly based on the cumulative Client Revenue generated by the EP's introduced Clients. Tiers do not downgrade once earned. Tier upgrades take effect on the first day of the quarter following the quarter in which the threshold is met.</w:t>
      </w:r>
    </w:p>
    <w:p>
      <w:pPr>
        <w:spacing w:after="0" w:before="80"/>
      </w:pPr>
    </w:p>
    <w:p>
      <w:pPr>
        <w:pStyle w:val="Heading2"/>
        <w:keepNext/>
        <w:spacing w:after="80" w:before="160"/>
      </w:pPr>
      <w:r>
        <w:rPr>
          <w:rFonts w:ascii="Arial" w:cs="Arial" w:eastAsia="Arial" w:hAnsi="Arial"/>
          <w:b/>
          <w:bCs/>
          <w:color w:val="060810"/>
          <w:sz w:val="22"/>
          <w:szCs w:val="22"/>
        </w:rPr>
        <w:t xml:space="preserve">4.2a  Milestone Bonuses</w:t>
      </w:r>
    </w:p>
    <w:p>
      <w:pPr>
        <w:spacing w:after="80" w:before="80"/>
        <w:jc w:val="both"/>
      </w:pPr>
      <w:r>
        <w:rPr>
          <w:rFonts w:ascii="Arial" w:cs="Arial" w:eastAsia="Arial" w:hAnsi="Arial"/>
          <w:color w:val="444444"/>
          <w:sz w:val="22"/>
          <w:szCs w:val="22"/>
        </w:rPr>
        <w:t xml:space="preserve">In addition to the EP Markup and the 24-Month Client Revenue Royalty, AIMA shall pay the EP a one-time Milestone Bonus for each EP-Introduced Client that reaches the following cumulative spend thresholds with AIMA:</w:t>
      </w:r>
    </w:p>
    <w:p>
      <w:pPr>
        <w:pStyle w:val="ListParagraph"/>
        <w:numPr>
          <w:ilvl w:val="0"/>
          <w:numId w:val="1"/>
        </w:numPr>
        <w:spacing w:after="80" w:before="80"/>
        <w:jc w:val="both"/>
      </w:pPr>
      <w:r>
        <w:rPr>
          <w:rFonts w:ascii="Arial" w:cs="Arial" w:eastAsia="Arial" w:hAnsi="Arial"/>
          <w:color w:val="444444"/>
          <w:sz w:val="22"/>
          <w:szCs w:val="22"/>
        </w:rPr>
        <w:t xml:space="preserve">USD $500 when cumulative Client Revenue from a single EP-Introduced Client first reaches USD $5,000;</w:t>
      </w:r>
    </w:p>
    <w:p>
      <w:pPr>
        <w:pStyle w:val="ListParagraph"/>
        <w:numPr>
          <w:ilvl w:val="0"/>
          <w:numId w:val="1"/>
        </w:numPr>
        <w:spacing w:after="80" w:before="80"/>
        <w:jc w:val="both"/>
      </w:pPr>
      <w:r>
        <w:rPr>
          <w:rFonts w:ascii="Arial" w:cs="Arial" w:eastAsia="Arial" w:hAnsi="Arial"/>
          <w:color w:val="444444"/>
          <w:sz w:val="22"/>
          <w:szCs w:val="22"/>
        </w:rPr>
        <w:t xml:space="preserve">USD $1,500 when cumulative Client Revenue from that same Client first reaches USD $25,000;</w:t>
      </w:r>
    </w:p>
    <w:p>
      <w:pPr>
        <w:pStyle w:val="ListParagraph"/>
        <w:numPr>
          <w:ilvl w:val="0"/>
          <w:numId w:val="1"/>
        </w:numPr>
        <w:spacing w:after="80" w:before="80"/>
        <w:jc w:val="both"/>
      </w:pPr>
      <w:r>
        <w:rPr>
          <w:rFonts w:ascii="Arial" w:cs="Arial" w:eastAsia="Arial" w:hAnsi="Arial"/>
          <w:color w:val="444444"/>
          <w:sz w:val="22"/>
          <w:szCs w:val="22"/>
        </w:rPr>
        <w:t xml:space="preserve">USD $3,000 when cumulative Client Revenue from that same Client first reaches USD $75,000.</w:t>
      </w:r>
    </w:p>
    <w:p>
      <w:pPr>
        <w:spacing w:after="80" w:before="80"/>
        <w:jc w:val="both"/>
      </w:pPr>
      <w:r>
        <w:rPr>
          <w:rFonts w:ascii="Arial" w:cs="Arial" w:eastAsia="Arial" w:hAnsi="Arial"/>
          <w:color w:val="444444"/>
          <w:sz w:val="22"/>
          <w:szCs w:val="22"/>
        </w:rPr>
        <w:t xml:space="preserve">Each Milestone Bonus is a one-time payment per threshold per Client. Cumulative Client Revenue is calculated from the Client’s first invoice date and is not reset upon expiration of the Royalty Window. Milestone Bonuses are payable within fifteen (15) business days of the quarter in which the applicable threshold is reached, together with the quarterly royalty statement. Milestone Bonuses apply to all EP tiers and are not subject to the 24-month Royalty Window.</w:t>
      </w:r>
    </w:p>
    <w:p>
      <w:pPr>
        <w:spacing w:after="0" w:before="80"/>
      </w:pPr>
    </w:p>
    <w:p>
      <w:pPr>
        <w:pStyle w:val="Heading2"/>
        <w:keepNext/>
        <w:spacing w:after="80" w:before="160"/>
      </w:pPr>
      <w:r>
        <w:rPr>
          <w:rFonts w:ascii="Arial" w:cs="Arial" w:eastAsia="Arial" w:hAnsi="Arial"/>
          <w:b/>
          <w:bCs/>
          <w:color w:val="060810"/>
          <w:sz w:val="22"/>
          <w:szCs w:val="22"/>
        </w:rPr>
        <w:t xml:space="preserve">4.3  Payment Billing Arrangements</w:t>
      </w:r>
    </w:p>
    <w:p>
      <w:pPr>
        <w:spacing w:after="80" w:before="80"/>
        <w:jc w:val="both"/>
      </w:pPr>
      <w:r>
        <w:rPr>
          <w:rFonts w:ascii="Arial" w:cs="Arial" w:eastAsia="Arial" w:hAnsi="Arial"/>
          <w:color w:val="444444"/>
          <w:sz w:val="22"/>
          <w:szCs w:val="22"/>
        </w:rPr>
        <w:t xml:space="preserve">The Parties may agree to one of the following billing arrangements for each project:</w:t>
      </w:r>
    </w:p>
    <w:p>
      <w:pPr>
        <w:spacing w:after="0" w:before="80"/>
      </w:pPr>
    </w:p>
    <w:p>
      <w:pPr>
        <w:pStyle w:val="ListParagraph"/>
        <w:numPr>
          <w:ilvl w:val="0"/>
          <w:numId w:val="3"/>
        </w:numPr>
        <w:spacing w:after="60" w:before="60"/>
      </w:pPr>
      <w:r>
        <w:rPr>
          <w:rFonts w:ascii="Arial" w:cs="Arial" w:eastAsia="Arial" w:hAnsi="Arial"/>
          <w:color w:val="444444"/>
          <w:sz w:val="22"/>
          <w:szCs w:val="22"/>
        </w:rPr>
        <w:t xml:space="preserve">EP Direct Billing: The EP invoices the Client for the full quoted amount (Base Rate + EP Markup). The EP remits the Base Rate to AIMA and retains the EP Markup. AIMA invoices the EP at the Base Rate.</w:t>
      </w:r>
    </w:p>
    <w:p>
      <w:pPr>
        <w:pStyle w:val="ListParagraph"/>
        <w:numPr>
          <w:ilvl w:val="0"/>
          <w:numId w:val="3"/>
        </w:numPr>
        <w:spacing w:after="60" w:before="60"/>
      </w:pPr>
      <w:r>
        <w:rPr>
          <w:rFonts w:ascii="Arial" w:cs="Arial" w:eastAsia="Arial" w:hAnsi="Arial"/>
          <w:color w:val="444444"/>
          <w:sz w:val="22"/>
          <w:szCs w:val="22"/>
        </w:rPr>
        <w:t xml:space="preserve">AIMA Full Billing: AIMA invoices the Client for the full quoted amount. AIMA remits the EP Markup to the EP within fourteen (14) calendar days of collecting payment from the Client. This arrangement requires prior written agreement between the Parties for each project.</w:t>
      </w:r>
    </w:p>
    <w:p>
      <w:pPr>
        <w:spacing w:after="0" w:before="80"/>
      </w:pPr>
    </w:p>
    <w:p>
      <w:pPr>
        <w:pStyle w:val="Heading2"/>
        <w:keepNext/>
        <w:spacing w:after="80" w:before="160"/>
      </w:pPr>
      <w:r>
        <w:rPr>
          <w:rFonts w:ascii="Arial" w:cs="Arial" w:eastAsia="Arial" w:hAnsi="Arial"/>
          <w:b/>
          <w:bCs/>
          <w:color w:val="060810"/>
          <w:sz w:val="22"/>
          <w:szCs w:val="22"/>
        </w:rPr>
        <w:t xml:space="preserve">4.4  Royalty Payment Schedule</w:t>
      </w:r>
    </w:p>
    <w:p>
      <w:pPr>
        <w:spacing w:after="80" w:before="80"/>
        <w:jc w:val="both"/>
      </w:pPr>
      <w:r>
        <w:rPr>
          <w:rFonts w:ascii="Arial" w:cs="Arial" w:eastAsia="Arial" w:hAnsi="Arial"/>
          <w:color w:val="444444"/>
          <w:sz w:val="22"/>
          <w:szCs w:val="22"/>
        </w:rPr>
        <w:t xml:space="preserve">Royalties shall be calculated on net Client Revenue actually collected by AIMA during each calendar quarter. AIMA shall pay royalties and provide a written royalty statement to the EP within fifteen (15) business days following the close of each calendar quarter (March 31, June 30, September 30, December 31). Royalties are calculated on revenue collected, not revenue contracted.</w:t>
      </w:r>
    </w:p>
    <w:p>
      <w:pPr>
        <w:spacing w:after="0" w:before="80"/>
      </w:pPr>
    </w:p>
    <w:p>
      <w:pPr>
        <w:pStyle w:val="Heading2"/>
        <w:keepNext/>
        <w:spacing w:after="80" w:before="160"/>
      </w:pPr>
      <w:r>
        <w:rPr>
          <w:rFonts w:ascii="Arial" w:cs="Arial" w:eastAsia="Arial" w:hAnsi="Arial"/>
          <w:b/>
          <w:bCs/>
          <w:color w:val="060810"/>
          <w:sz w:val="22"/>
          <w:szCs w:val="22"/>
        </w:rPr>
        <w:t xml:space="preserve">4.5  No Royalties on Uncollected Revenue</w:t>
      </w:r>
    </w:p>
    <w:p>
      <w:pPr>
        <w:spacing w:after="80" w:before="80"/>
        <w:jc w:val="both"/>
      </w:pPr>
      <w:r>
        <w:rPr>
          <w:rFonts w:ascii="Arial" w:cs="Arial" w:eastAsia="Arial" w:hAnsi="Arial"/>
          <w:color w:val="444444"/>
          <w:sz w:val="22"/>
          <w:szCs w:val="22"/>
        </w:rPr>
        <w:t xml:space="preserve">No royalties shall be due or payable with respect to amounts invoiced but not collected by AIMA, amounts refunded to a Client following a dispute or cancellation, or amounts credited against future work. If AIMA issues a refund after a royalty has been paid, AIMA may offset the corresponding royalty overpayment against future royalty payments.</w:t>
      </w:r>
    </w:p>
    <w:p>
      <w:pPr>
        <w:spacing w:after="0" w:before="80"/>
      </w:pPr>
    </w:p>
    <w:p>
      <w:pPr>
        <w:pStyle w:val="Heading2"/>
        <w:keepNext/>
        <w:spacing w:after="80" w:before="160"/>
      </w:pPr>
      <w:r>
        <w:rPr>
          <w:rFonts w:ascii="Arial" w:cs="Arial" w:eastAsia="Arial" w:hAnsi="Arial"/>
          <w:b/>
          <w:bCs/>
          <w:color w:val="060810"/>
          <w:sz w:val="22"/>
          <w:szCs w:val="22"/>
        </w:rPr>
        <w:t xml:space="preserve">4.6  Tax Reporting</w:t>
      </w:r>
    </w:p>
    <w:p>
      <w:pPr>
        <w:spacing w:after="80" w:before="80"/>
        <w:jc w:val="both"/>
      </w:pPr>
      <w:r>
        <w:rPr>
          <w:rFonts w:ascii="Arial" w:cs="Arial" w:eastAsia="Arial" w:hAnsi="Arial"/>
          <w:color w:val="444444"/>
          <w:sz w:val="22"/>
          <w:szCs w:val="22"/>
        </w:rPr>
        <w:t xml:space="preserve">AIMA shall issue IRS Form 1099-NEC to the EP for all royalty payments meeting the reportable threshold in any calendar year (currently $600 for the 2025 tax year; $2,000 for tax years beginning January 1, 2026, as amended by the One Big Beautiful Bill Act). EP Markup income retained directly by the EP from Client billing is the EP's own business income and is not reported by AIMA. AIMA shall issue IRS Form 1099-MISC (Box 2) for royalty payments of $10 or more, as required by applicable IRS regulations (Rev. April 2025 Instructions for Forms 1099-MISC and 1099-NEC).</w:t>
      </w:r>
    </w:p>
    <w:p>
      <w:pPr>
        <w:spacing w:after="0" w:before="200"/>
      </w:pPr>
    </w:p>
    <w:p>
      <w:pPr>
        <w:pBdr>
          <w:bottom w:val="single" w:color="DDDDDD" w:sz="2"/>
        </w:pBdr>
        <w:spacing w:after="80" w:before="80"/>
      </w:pPr>
    </w:p>
    <w:p>
      <w:pPr>
        <w:spacing w:after="0" w:before="200"/>
      </w:pPr>
    </w:p>
    <w:p>
      <w:pPr>
        <w:pStyle w:val="Heading1"/>
        <w:pageBreakBefore/>
        <w:keepNext/>
        <w:pBdr>
          <w:bottom w:val="single" w:color="00D9F5" w:sz="6" w:space="6"/>
        </w:pBdr>
        <w:spacing w:after="120" w:before="0"/>
      </w:pPr>
      <w:r>
        <w:rPr>
          <w:rFonts w:ascii="Arial" w:cs="Arial" w:eastAsia="Arial" w:hAnsi="Arial"/>
          <w:b/>
          <w:bCs/>
          <w:color w:val="060810"/>
          <w:sz w:val="26"/>
          <w:szCs w:val="26"/>
        </w:rPr>
        <w:t xml:space="preserve">SECTION 5 — AIMA RESPONSIBILITIES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5.1  Onboarding Kit. </w:t>
      </w:r>
      <w:r>
        <w:rPr>
          <w:rFonts w:ascii="Arial" w:cs="Arial" w:eastAsia="Arial" w:hAnsi="Arial"/>
          <w:color w:val="444444"/>
          <w:sz w:val="22"/>
          <w:szCs w:val="22"/>
        </w:rPr>
        <w:t xml:space="preserve">Upon execution of this Agreement and receipt of the EP's W-9, AIMA shall provide the EP with an EP Onboarding Kit including the current Rate Card, approved pitch deck, brand guidelines, and Project Brief template.</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5.2  Production Priority. </w:t>
      </w:r>
      <w:r>
        <w:rPr>
          <w:rFonts w:ascii="Arial" w:cs="Arial" w:eastAsia="Arial" w:hAnsi="Arial"/>
          <w:color w:val="444444"/>
          <w:sz w:val="22"/>
          <w:szCs w:val="22"/>
        </w:rPr>
        <w:t xml:space="preserve">AIMA shall assign Priority 1 production status to all EP-sourced projects, scheduling them ahead of cold inbound inquiries, subject to existing production capacity.</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5.3  Quality and Delivery. </w:t>
      </w:r>
      <w:r>
        <w:rPr>
          <w:rFonts w:ascii="Arial" w:cs="Arial" w:eastAsia="Arial" w:hAnsi="Arial"/>
          <w:color w:val="444444"/>
          <w:sz w:val="22"/>
          <w:szCs w:val="22"/>
        </w:rPr>
        <w:t xml:space="preserve">AIMA shall deliver all EP-sourced projects in accordance with the specifications, timelines, and quality standards described in the applicable Rate Card and Project Brief. AIMA's production obligations to the Client are governed solely by the production agreement between AIMA and the Client.</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5.4  EP Support. </w:t>
      </w:r>
      <w:r>
        <w:rPr>
          <w:rFonts w:ascii="Arial" w:cs="Arial" w:eastAsia="Arial" w:hAnsi="Arial"/>
          <w:color w:val="444444"/>
          <w:sz w:val="22"/>
          <w:szCs w:val="22"/>
        </w:rPr>
        <w:t xml:space="preserve">AIMA shall designate a point of contact for the EP for project status updates and client questions throughout the production process.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5.5  Rate Card Updates. </w:t>
      </w:r>
      <w:r>
        <w:rPr>
          <w:rFonts w:ascii="Arial" w:cs="Arial" w:eastAsia="Arial" w:hAnsi="Arial"/>
          <w:color w:val="444444"/>
          <w:sz w:val="22"/>
          <w:szCs w:val="22"/>
        </w:rPr>
        <w:t xml:space="preserve">AIMA shall provide the EP with at least fourteen (14) days' advance written notice of any changes to the Base Rate or Rate Card. Projects quoted to Clients before the effective date of a rate change shall be honored at the quoted rate.</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5.6  Co-Branding. </w:t>
      </w:r>
      <w:r>
        <w:rPr>
          <w:rFonts w:ascii="Arial" w:cs="Arial" w:eastAsia="Arial" w:hAnsi="Arial"/>
          <w:color w:val="444444"/>
          <w:sz w:val="22"/>
          <w:szCs w:val="22"/>
        </w:rPr>
        <w:t xml:space="preserve">Upon EP request, AIMA shall include a co-brand credit on final deliverables in the form "Presented by [EP Name] × AIMA" or such other mutually agreed format.</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5.7  Royalty Statements. </w:t>
      </w:r>
      <w:r>
        <w:rPr>
          <w:rFonts w:ascii="Arial" w:cs="Arial" w:eastAsia="Arial" w:hAnsi="Arial"/>
          <w:color w:val="444444"/>
          <w:sz w:val="22"/>
          <w:szCs w:val="22"/>
        </w:rPr>
        <w:t xml:space="preserve">AIMA shall provide quarterly royalty statements itemizing all Client Revenue collected from EP-Introduced Clients, the applicable royalty rate, and the total royalty due for that quarter.</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5.8  Client Ownership. </w:t>
      </w:r>
      <w:r>
        <w:rPr>
          <w:rFonts w:ascii="Arial" w:cs="Arial" w:eastAsia="Arial" w:hAnsi="Arial"/>
          <w:color w:val="444444"/>
          <w:sz w:val="22"/>
          <w:szCs w:val="22"/>
        </w:rPr>
        <w:t xml:space="preserve">AIMA retains sole ownership of all client relationships for production purposes. The EP's interest is limited to the royalty rights set forth in this Agreement and does not constitute an ownership interest in any AIMA client account.</w:t>
      </w:r>
    </w:p>
    <w:p>
      <w:pPr>
        <w:spacing w:after="0" w:before="200"/>
      </w:pPr>
    </w:p>
    <w:p>
      <w:pPr>
        <w:pBdr>
          <w:bottom w:val="single" w:color="DDDDDD" w:sz="2"/>
        </w:pBdr>
        <w:spacing w:after="80" w:before="80"/>
      </w:pPr>
    </w:p>
    <w:p>
      <w:pPr>
        <w:spacing w:after="0" w:before="200"/>
      </w:pPr>
    </w:p>
    <w:p>
      <w:pPr>
        <w:pStyle w:val="Heading1"/>
        <w:pageBreakBefore/>
        <w:keepNext/>
        <w:pBdr>
          <w:bottom w:val="single" w:color="00D9F5" w:sz="6" w:space="6"/>
        </w:pBdr>
        <w:spacing w:after="120" w:before="0"/>
      </w:pPr>
      <w:r>
        <w:rPr>
          <w:rFonts w:ascii="Arial" w:cs="Arial" w:eastAsia="Arial" w:hAnsi="Arial"/>
          <w:b/>
          <w:bCs/>
          <w:color w:val="060810"/>
          <w:sz w:val="26"/>
          <w:szCs w:val="26"/>
        </w:rPr>
        <w:t xml:space="preserve">SECTION 6 — INTELLECTUAL PROPERTY</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6.1  AIMA Ownership. </w:t>
      </w:r>
      <w:r>
        <w:rPr>
          <w:rFonts w:ascii="Arial" w:cs="Arial" w:eastAsia="Arial" w:hAnsi="Arial"/>
          <w:color w:val="444444"/>
          <w:sz w:val="22"/>
          <w:szCs w:val="22"/>
        </w:rPr>
        <w:t xml:space="preserve">All creative work, production deliverables, processes, tools, software, and brand assets created by AIMA are and shall remain the sole and exclusive property of AIMA and its clients as applicable. The EP acquires no intellectual property rights in any AIMA production output, brand materials, or proprietary processes under this Agreement.</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6.2  Client IP Rights. </w:t>
      </w:r>
      <w:r>
        <w:rPr>
          <w:rFonts w:ascii="Arial" w:cs="Arial" w:eastAsia="Arial" w:hAnsi="Arial"/>
          <w:color w:val="444444"/>
          <w:sz w:val="22"/>
          <w:szCs w:val="22"/>
        </w:rPr>
        <w:t xml:space="preserve">IP ownership in Client deliverables is governed solely by the production agreement between AIMA and the Client. The EP is not a party to such agreements and acquires no rights in Client deliverables.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6.3  EP Materials License. </w:t>
      </w:r>
      <w:r>
        <w:rPr>
          <w:rFonts w:ascii="Arial" w:cs="Arial" w:eastAsia="Arial" w:hAnsi="Arial"/>
          <w:color w:val="444444"/>
          <w:sz w:val="22"/>
          <w:szCs w:val="22"/>
        </w:rPr>
        <w:t xml:space="preserve">AIMA grants the EP a non-exclusive, non-transferable, revocable license to use AIMA's approved brand materials (including logo, rate card, and pitch deck) solely for the purpose of promoting AIMA's services to prospective Clients during the Term. The EP shall not modify, sublicense, or use AIMA's brand materials for any other purpose without prior written consent.</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6.4  EP Name and Likeness. </w:t>
      </w:r>
      <w:r>
        <w:rPr>
          <w:rFonts w:ascii="Arial" w:cs="Arial" w:eastAsia="Arial" w:hAnsi="Arial"/>
          <w:color w:val="444444"/>
          <w:sz w:val="22"/>
          <w:szCs w:val="22"/>
        </w:rPr>
        <w:t xml:space="preserve">The EP grants AIMA a non-exclusive license to use the EP's name and business name for co-branding purposes on Client deliverables, AIMA's website, and marketing materials during the Term and for a reasonable period thereafter for portfolio purposes.</w:t>
      </w:r>
    </w:p>
    <w:p>
      <w:pPr>
        <w:spacing w:after="0" w:before="200"/>
      </w:pPr>
    </w:p>
    <w:p>
      <w:pPr>
        <w:pBdr>
          <w:bottom w:val="single" w:color="DDDDDD" w:sz="2"/>
        </w:pBdr>
        <w:spacing w:after="80" w:before="80"/>
      </w:pPr>
    </w:p>
    <w:p>
      <w:pPr>
        <w:spacing w:after="0" w:before="200"/>
      </w:pPr>
    </w:p>
    <w:p>
      <w:pPr>
        <w:pStyle w:val="Heading1"/>
        <w:pageBreakBefore/>
        <w:keepNext/>
        <w:pBdr>
          <w:bottom w:val="single" w:color="00D9F5" w:sz="6" w:space="6"/>
        </w:pBdr>
        <w:spacing w:after="120" w:before="0"/>
      </w:pPr>
      <w:r>
        <w:rPr>
          <w:rFonts w:ascii="Arial" w:cs="Arial" w:eastAsia="Arial" w:hAnsi="Arial"/>
          <w:b/>
          <w:bCs/>
          <w:color w:val="060810"/>
          <w:sz w:val="26"/>
          <w:szCs w:val="26"/>
        </w:rPr>
        <w:t xml:space="preserve">SECTION 7 — REPRESENTATIONS AND WARRANTIES</w:t>
      </w:r>
    </w:p>
    <w:p>
      <w:pPr>
        <w:spacing w:after="0" w:before="80"/>
      </w:pPr>
    </w:p>
    <w:p>
      <w:pPr>
        <w:pStyle w:val="Heading2"/>
        <w:keepNext/>
        <w:spacing w:after="80" w:before="160"/>
      </w:pPr>
      <w:r>
        <w:rPr>
          <w:rFonts w:ascii="Arial" w:cs="Arial" w:eastAsia="Arial" w:hAnsi="Arial"/>
          <w:b/>
          <w:bCs/>
          <w:color w:val="060810"/>
          <w:sz w:val="22"/>
          <w:szCs w:val="22"/>
        </w:rPr>
        <w:t xml:space="preserve">7.1  EP Representations</w:t>
      </w:r>
    </w:p>
    <w:p>
      <w:pPr>
        <w:spacing w:after="80" w:before="80"/>
        <w:jc w:val="left"/>
      </w:pPr>
      <w:r>
        <w:rPr>
          <w:rFonts w:ascii="Arial" w:cs="Arial" w:eastAsia="Arial" w:hAnsi="Arial"/>
          <w:color w:val="444444"/>
          <w:sz w:val="22"/>
          <w:szCs w:val="22"/>
        </w:rPr>
        <w:t xml:space="preserve">The EP represents and warrants to AIMA that:</w:t>
      </w:r>
    </w:p>
    <w:p>
      <w:pPr>
        <w:spacing w:after="0" w:before="80"/>
      </w:pPr>
    </w:p>
    <w:p>
      <w:pPr>
        <w:pStyle w:val="ListParagraph"/>
        <w:numPr>
          <w:ilvl w:val="0"/>
          <w:numId w:val="3"/>
        </w:numPr>
        <w:spacing w:after="60" w:before="60"/>
      </w:pPr>
      <w:r>
        <w:rPr>
          <w:rFonts w:ascii="Arial" w:cs="Arial" w:eastAsia="Arial" w:hAnsi="Arial"/>
          <w:color w:val="444444"/>
          <w:sz w:val="22"/>
          <w:szCs w:val="22"/>
        </w:rPr>
        <w:t xml:space="preserve">The EP is validly organized under applicable law as a business entity and has full authority to enter into and perform this Agreement;</w:t>
      </w:r>
    </w:p>
    <w:p>
      <w:pPr>
        <w:pStyle w:val="ListParagraph"/>
        <w:numPr>
          <w:ilvl w:val="0"/>
          <w:numId w:val="3"/>
        </w:numPr>
        <w:spacing w:after="60" w:before="60"/>
      </w:pPr>
      <w:r>
        <w:rPr>
          <w:rFonts w:ascii="Arial" w:cs="Arial" w:eastAsia="Arial" w:hAnsi="Arial"/>
          <w:color w:val="444444"/>
          <w:sz w:val="22"/>
          <w:szCs w:val="22"/>
        </w:rPr>
        <w:t xml:space="preserve">The EP is free from any contractual, legal, or fiduciary restrictions that would prevent or limit their ability to perform under this Agreement;</w:t>
      </w:r>
    </w:p>
    <w:p>
      <w:pPr>
        <w:pStyle w:val="ListParagraph"/>
        <w:numPr>
          <w:ilvl w:val="0"/>
          <w:numId w:val="3"/>
        </w:numPr>
        <w:spacing w:after="60" w:before="60"/>
      </w:pPr>
      <w:r>
        <w:rPr>
          <w:rFonts w:ascii="Arial" w:cs="Arial" w:eastAsia="Arial" w:hAnsi="Arial"/>
          <w:color w:val="444444"/>
          <w:sz w:val="22"/>
          <w:szCs w:val="22"/>
        </w:rPr>
        <w:t xml:space="preserve">The EP holds all required business licenses, permits, and tax registrations required to operate in their jurisdiction;</w:t>
      </w:r>
    </w:p>
    <w:p>
      <w:pPr>
        <w:pStyle w:val="ListParagraph"/>
        <w:numPr>
          <w:ilvl w:val="0"/>
          <w:numId w:val="3"/>
        </w:numPr>
        <w:spacing w:after="60" w:before="60"/>
      </w:pPr>
      <w:r>
        <w:rPr>
          <w:rFonts w:ascii="Arial" w:cs="Arial" w:eastAsia="Arial" w:hAnsi="Arial"/>
          <w:color w:val="444444"/>
          <w:sz w:val="22"/>
          <w:szCs w:val="22"/>
        </w:rPr>
        <w:t xml:space="preserve">The EP is an independently established business that regularly provides services to multiple clients;</w:t>
      </w:r>
    </w:p>
    <w:p>
      <w:pPr>
        <w:pStyle w:val="ListParagraph"/>
        <w:numPr>
          <w:ilvl w:val="0"/>
          <w:numId w:val="3"/>
        </w:numPr>
        <w:spacing w:after="60" w:before="60"/>
      </w:pPr>
      <w:r>
        <w:rPr>
          <w:rFonts w:ascii="Arial" w:cs="Arial" w:eastAsia="Arial" w:hAnsi="Arial"/>
          <w:color w:val="444444"/>
          <w:sz w:val="22"/>
          <w:szCs w:val="22"/>
        </w:rPr>
        <w:t xml:space="preserve">The EP operates from a business location separate from AIMA's place of business;</w:t>
      </w:r>
    </w:p>
    <w:p>
      <w:pPr>
        <w:pStyle w:val="ListParagraph"/>
        <w:numPr>
          <w:ilvl w:val="0"/>
          <w:numId w:val="3"/>
        </w:numPr>
        <w:spacing w:after="60" w:before="60"/>
      </w:pPr>
      <w:r>
        <w:rPr>
          <w:rFonts w:ascii="Arial" w:cs="Arial" w:eastAsia="Arial" w:hAnsi="Arial"/>
          <w:color w:val="444444"/>
          <w:sz w:val="22"/>
          <w:szCs w:val="22"/>
        </w:rPr>
        <w:t xml:space="preserve">The EP has the right to subcontract, hire, or otherwise engage others to assist in performing their services;</w:t>
      </w:r>
    </w:p>
    <w:p>
      <w:pPr>
        <w:pStyle w:val="ListParagraph"/>
        <w:numPr>
          <w:ilvl w:val="0"/>
          <w:numId w:val="3"/>
        </w:numPr>
        <w:spacing w:after="60" w:before="60"/>
      </w:pPr>
      <w:r>
        <w:rPr>
          <w:rFonts w:ascii="Arial" w:cs="Arial" w:eastAsia="Arial" w:hAnsi="Arial"/>
          <w:color w:val="444444"/>
          <w:sz w:val="22"/>
          <w:szCs w:val="22"/>
        </w:rPr>
        <w:t xml:space="preserve">The EP's business development activities under this Agreement are not the same type of work that AIMA performs as its core business (production services);</w:t>
      </w:r>
    </w:p>
    <w:p>
      <w:pPr>
        <w:pStyle w:val="ListParagraph"/>
        <w:numPr>
          <w:ilvl w:val="0"/>
          <w:numId w:val="3"/>
        </w:numPr>
        <w:spacing w:after="60" w:before="60"/>
      </w:pPr>
      <w:r>
        <w:rPr>
          <w:rFonts w:ascii="Arial" w:cs="Arial" w:eastAsia="Arial" w:hAnsi="Arial"/>
          <w:color w:val="444444"/>
          <w:sz w:val="22"/>
          <w:szCs w:val="22"/>
        </w:rPr>
        <w:t xml:space="preserve">No representation made by the EP to any prospective Client shall constitute a warranty or binding commitment by AIMA beyond what is stated in AIMA's Rate Card and service descriptions.</w:t>
      </w:r>
    </w:p>
    <w:p>
      <w:pPr>
        <w:spacing w:after="0" w:before="80"/>
      </w:pPr>
    </w:p>
    <w:p>
      <w:pPr>
        <w:pStyle w:val="Heading2"/>
        <w:keepNext/>
        <w:spacing w:after="80" w:before="160"/>
      </w:pPr>
      <w:r>
        <w:rPr>
          <w:rFonts w:ascii="Arial" w:cs="Arial" w:eastAsia="Arial" w:hAnsi="Arial"/>
          <w:b/>
          <w:bCs/>
          <w:color w:val="060810"/>
          <w:sz w:val="22"/>
          <w:szCs w:val="22"/>
        </w:rPr>
        <w:t xml:space="preserve">7.2  AIMA Representations</w:t>
      </w:r>
    </w:p>
    <w:p>
      <w:pPr>
        <w:spacing w:after="80" w:before="80"/>
        <w:jc w:val="left"/>
      </w:pPr>
      <w:r>
        <w:rPr>
          <w:rFonts w:ascii="Arial" w:cs="Arial" w:eastAsia="Arial" w:hAnsi="Arial"/>
          <w:color w:val="444444"/>
          <w:sz w:val="22"/>
          <w:szCs w:val="22"/>
        </w:rPr>
        <w:t xml:space="preserve">AIMA represents and warrants to the EP that:</w:t>
      </w:r>
    </w:p>
    <w:p>
      <w:pPr>
        <w:spacing w:after="0" w:before="80"/>
      </w:pPr>
    </w:p>
    <w:p>
      <w:pPr>
        <w:pStyle w:val="ListParagraph"/>
        <w:numPr>
          <w:ilvl w:val="0"/>
          <w:numId w:val="3"/>
        </w:numPr>
        <w:spacing w:after="60" w:before="60"/>
      </w:pPr>
      <w:r>
        <w:rPr>
          <w:rFonts w:ascii="Arial" w:cs="Arial" w:eastAsia="Arial" w:hAnsi="Arial"/>
          <w:color w:val="444444"/>
          <w:sz w:val="22"/>
          <w:szCs w:val="22"/>
        </w:rPr>
        <w:t xml:space="preserve">AIMA is a validly organized limited liability company under the laws of California with full authority to enter into this Agreement;</w:t>
      </w:r>
    </w:p>
    <w:p>
      <w:pPr>
        <w:pStyle w:val="ListParagraph"/>
        <w:numPr>
          <w:ilvl w:val="0"/>
          <w:numId w:val="3"/>
        </w:numPr>
        <w:spacing w:after="60" w:before="60"/>
      </w:pPr>
      <w:r>
        <w:rPr>
          <w:rFonts w:ascii="Arial" w:cs="Arial" w:eastAsia="Arial" w:hAnsi="Arial"/>
          <w:color w:val="444444"/>
          <w:sz w:val="22"/>
          <w:szCs w:val="22"/>
        </w:rPr>
        <w:t xml:space="preserve">AIMA's services and production processes do not infringe upon any third-party intellectual property rights to AIMA's knowledge;</w:t>
      </w:r>
    </w:p>
    <w:p>
      <w:pPr>
        <w:pStyle w:val="ListParagraph"/>
        <w:numPr>
          <w:ilvl w:val="0"/>
          <w:numId w:val="3"/>
        </w:numPr>
        <w:spacing w:after="60" w:before="60"/>
      </w:pPr>
      <w:r>
        <w:rPr>
          <w:rFonts w:ascii="Arial" w:cs="Arial" w:eastAsia="Arial" w:hAnsi="Arial"/>
          <w:color w:val="444444"/>
          <w:sz w:val="22"/>
          <w:szCs w:val="22"/>
        </w:rPr>
        <w:t xml:space="preserve">AIMA shall honor its production commitments to EP-Introduced Clients in accordance with the applicable Rate Card specifications.</w:t>
      </w:r>
    </w:p>
    <w:p>
      <w:pPr>
        <w:spacing w:after="0" w:before="200"/>
      </w:pPr>
    </w:p>
    <w:p>
      <w:pPr>
        <w:pBdr>
          <w:bottom w:val="single" w:color="DDDDDD" w:sz="2"/>
        </w:pBdr>
        <w:spacing w:after="80" w:before="80"/>
      </w:pPr>
    </w:p>
    <w:p>
      <w:pPr>
        <w:spacing w:after="0" w:before="200"/>
      </w:pPr>
    </w:p>
    <w:p>
      <w:pPr>
        <w:pStyle w:val="Heading1"/>
        <w:pageBreakBefore/>
        <w:keepNext/>
        <w:pBdr>
          <w:bottom w:val="single" w:color="00D9F5" w:sz="6" w:space="6"/>
        </w:pBdr>
        <w:spacing w:after="120" w:before="0"/>
      </w:pPr>
      <w:r>
        <w:rPr>
          <w:rFonts w:ascii="Arial" w:cs="Arial" w:eastAsia="Arial" w:hAnsi="Arial"/>
          <w:b/>
          <w:bCs/>
          <w:color w:val="060810"/>
          <w:sz w:val="26"/>
          <w:szCs w:val="26"/>
        </w:rPr>
        <w:t xml:space="preserve">SECTION 8 — CONFIDENTIALITY AND NON-DISCLOSURE</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8.1  Mutual Confidentiality Obligation. </w:t>
      </w:r>
      <w:r>
        <w:rPr>
          <w:rFonts w:ascii="Arial" w:cs="Arial" w:eastAsia="Arial" w:hAnsi="Arial"/>
          <w:color w:val="444444"/>
          <w:sz w:val="22"/>
          <w:szCs w:val="22"/>
        </w:rPr>
        <w:t xml:space="preserve">Each Party ("Receiving Party") agrees to hold the other Party's ("Disclosing Party") Confidential Information in strict confidence and not to disclose it to any third party without the prior written consent of the Disclosing Party, except as required by law.</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8.2  AIMA Confidential Information. </w:t>
      </w:r>
      <w:r>
        <w:rPr>
          <w:rFonts w:ascii="Arial" w:cs="Arial" w:eastAsia="Arial" w:hAnsi="Arial"/>
          <w:color w:val="444444"/>
          <w:sz w:val="22"/>
          <w:szCs w:val="22"/>
        </w:rPr>
        <w:t xml:space="preserve">The EP acknowledges that AIMA's Confidential Information includes, without limitation: Base Rates and pricing floors, production workflows and AI tool stacks, client lists and contact information, client project details and budgets, business strategies and financial information, and proprietary agreements with third-party vendors.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8.3  EP Confidential Information. </w:t>
      </w:r>
      <w:r>
        <w:rPr>
          <w:rFonts w:ascii="Arial" w:cs="Arial" w:eastAsia="Arial" w:hAnsi="Arial"/>
          <w:color w:val="444444"/>
          <w:sz w:val="22"/>
          <w:szCs w:val="22"/>
        </w:rPr>
        <w:t xml:space="preserve">AIMA acknowledges that the EP's Confidential Information includes the EP's client relationships, business strategies, and proprietary methods.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8.4  Exceptions. </w:t>
      </w:r>
      <w:r>
        <w:rPr>
          <w:rFonts w:ascii="Arial" w:cs="Arial" w:eastAsia="Arial" w:hAnsi="Arial"/>
          <w:color w:val="444444"/>
          <w:sz w:val="22"/>
          <w:szCs w:val="22"/>
        </w:rPr>
        <w:t xml:space="preserve">Confidentiality obligations do not apply to information that: (a) is or becomes publicly available through no fault of the Receiving Party; (b) was known to the Receiving Party prior to disclosure; (c) is independently developed by the Receiving Party without reference to the Confidential Information; or (d) is required to be disclosed by law, court order, or governmental authority, provided the Receiving Party gives the Disclosing Party prompt written notice of such requirement.</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8.5  Survival. </w:t>
      </w:r>
      <w:r>
        <w:rPr>
          <w:rFonts w:ascii="Arial" w:cs="Arial" w:eastAsia="Arial" w:hAnsi="Arial"/>
          <w:color w:val="444444"/>
          <w:sz w:val="22"/>
          <w:szCs w:val="22"/>
        </w:rPr>
        <w:t xml:space="preserve">Confidentiality obligations survive termination of this Agreement for a period of three (3) years following the effective date of termination.</w:t>
      </w:r>
    </w:p>
    <w:p>
      <w:pPr>
        <w:spacing w:after="0" w:before="200"/>
      </w:pPr>
    </w:p>
    <w:p>
      <w:pPr>
        <w:pBdr>
          <w:bottom w:val="single" w:color="DDDDDD" w:sz="2"/>
        </w:pBdr>
        <w:spacing w:after="80" w:before="80"/>
      </w:pPr>
    </w:p>
    <w:p>
      <w:pPr>
        <w:spacing w:after="0" w:before="200"/>
      </w:pPr>
    </w:p>
    <w:p>
      <w:pPr>
        <w:pStyle w:val="Heading1"/>
        <w:pageBreakBefore/>
        <w:keepNext/>
        <w:pBdr>
          <w:bottom w:val="single" w:color="00D9F5" w:sz="6" w:space="6"/>
        </w:pBdr>
        <w:spacing w:after="120" w:before="0"/>
      </w:pPr>
      <w:r>
        <w:rPr>
          <w:rFonts w:ascii="Arial" w:cs="Arial" w:eastAsia="Arial" w:hAnsi="Arial"/>
          <w:b/>
          <w:bCs/>
          <w:color w:val="060810"/>
          <w:sz w:val="26"/>
          <w:szCs w:val="26"/>
        </w:rPr>
        <w:t xml:space="preserve">SECTION 9 — NON-SOLICITATION</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9.1  Non-Solicitation of AIMA Clients. </w:t>
      </w:r>
      <w:r>
        <w:rPr>
          <w:rFonts w:ascii="Arial" w:cs="Arial" w:eastAsia="Arial" w:hAnsi="Arial"/>
          <w:color w:val="444444"/>
          <w:sz w:val="22"/>
          <w:szCs w:val="22"/>
        </w:rPr>
        <w:t xml:space="preserve">During the Term and for a period of twelve (12) months following termination of this Agreement, the EP shall not directly solicit, divert, or entice any existing AIMA client (other than EP-Introduced Clients) to use a competing production service provider.</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9.2  Non-Solicitation of AIMA Personnel. </w:t>
      </w:r>
      <w:r>
        <w:rPr>
          <w:rFonts w:ascii="Arial" w:cs="Arial" w:eastAsia="Arial" w:hAnsi="Arial"/>
          <w:color w:val="444444"/>
          <w:sz w:val="22"/>
          <w:szCs w:val="22"/>
        </w:rPr>
        <w:t xml:space="preserve">During the Term and for a period of twelve (12) months following termination, the EP shall not solicit, recruit, or hire any AIMA employee, contractor, or service provider with whom the EP had contact in connection with this Agreement.</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9.3  No Non-Compete. </w:t>
      </w:r>
      <w:r>
        <w:rPr>
          <w:rFonts w:ascii="Arial" w:cs="Arial" w:eastAsia="Arial" w:hAnsi="Arial"/>
          <w:color w:val="444444"/>
          <w:sz w:val="22"/>
          <w:szCs w:val="22"/>
        </w:rPr>
        <w:t xml:space="preserve">Consistent with California Business and Professions Code Section 16600, which renders most non-compete agreements unenforceable in California, this Agreement does not impose any restriction on the EP's right to engage in competing business activities, pursue other clients, or work in the same or similar industry. The non-solicitation provisions in Sections 9.1 and 9.2 are limited in scope and shall be enforced only to the extent permissible under California law.</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9.4  EP-Introduced Client Exception. </w:t>
      </w:r>
      <w:r>
        <w:rPr>
          <w:rFonts w:ascii="Arial" w:cs="Arial" w:eastAsia="Arial" w:hAnsi="Arial"/>
          <w:color w:val="444444"/>
          <w:sz w:val="22"/>
          <w:szCs w:val="22"/>
        </w:rPr>
        <w:t xml:space="preserve">Notwithstanding Section 9.1, the EP retains the right to maintain independent business relationships with EP-Introduced Clients, provided such relationships do not involve soliciting those Clients away from existing AIMA production engagements that are actively in progress.</w:t>
      </w:r>
    </w:p>
    <w:p>
      <w:pPr>
        <w:spacing w:after="0" w:before="200"/>
      </w:pPr>
    </w:p>
    <w:p>
      <w:pPr>
        <w:pBdr>
          <w:bottom w:val="single" w:color="DDDDDD" w:sz="2"/>
        </w:pBdr>
        <w:spacing w:after="80" w:before="80"/>
      </w:pPr>
    </w:p>
    <w:p>
      <w:pPr>
        <w:spacing w:after="0" w:before="200"/>
      </w:pPr>
    </w:p>
    <w:p>
      <w:pPr>
        <w:pStyle w:val="Heading1"/>
        <w:pageBreakBefore/>
        <w:keepNext/>
        <w:pBdr>
          <w:bottom w:val="single" w:color="00D9F5" w:sz="6" w:space="6"/>
        </w:pBdr>
        <w:spacing w:after="120" w:before="0"/>
      </w:pPr>
      <w:r>
        <w:rPr>
          <w:rFonts w:ascii="Arial" w:cs="Arial" w:eastAsia="Arial" w:hAnsi="Arial"/>
          <w:b/>
          <w:bCs/>
          <w:color w:val="060810"/>
          <w:sz w:val="26"/>
          <w:szCs w:val="26"/>
        </w:rPr>
        <w:t xml:space="preserve">SECTION 10 — TERM AND TERMINATION</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10.1  Initial Term. </w:t>
      </w:r>
      <w:r>
        <w:rPr>
          <w:rFonts w:ascii="Arial" w:cs="Arial" w:eastAsia="Arial" w:hAnsi="Arial"/>
          <w:color w:val="444444"/>
          <w:sz w:val="22"/>
          <w:szCs w:val="22"/>
        </w:rPr>
        <w:t xml:space="preserve">This Agreement shall commence on the Effective Date and continue for a period of one (1) year (the "Initial Term"), unless earlier terminated in accordance with this Section.</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10.2  Automatic Renewal. </w:t>
      </w:r>
      <w:r>
        <w:rPr>
          <w:rFonts w:ascii="Arial" w:cs="Arial" w:eastAsia="Arial" w:hAnsi="Arial"/>
          <w:color w:val="444444"/>
          <w:sz w:val="22"/>
          <w:szCs w:val="22"/>
        </w:rPr>
        <w:t xml:space="preserve">Following the Initial Term, this Agreement shall automatically renew for successive one (1) year periods (each a "Renewal Term") unless either Party provides written notice of non-renewal at least thirty (30) days prior to the end of the then-current Term.</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10.3  Termination for Convenience. </w:t>
      </w:r>
      <w:r>
        <w:rPr>
          <w:rFonts w:ascii="Arial" w:cs="Arial" w:eastAsia="Arial" w:hAnsi="Arial"/>
          <w:color w:val="444444"/>
          <w:sz w:val="22"/>
          <w:szCs w:val="22"/>
        </w:rPr>
        <w:t xml:space="preserve">Either Party may terminate this Agreement at any time, with or without cause, upon thirty (30) days' prior written notice to the other Party.</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10.4  Termination for Cause. </w:t>
      </w:r>
      <w:r>
        <w:rPr>
          <w:rFonts w:ascii="Arial" w:cs="Arial" w:eastAsia="Arial" w:hAnsi="Arial"/>
          <w:color w:val="444444"/>
          <w:sz w:val="22"/>
          <w:szCs w:val="22"/>
        </w:rPr>
        <w:t xml:space="preserve">Either Party may terminate this Agreement immediately upon written notice in the event of: (a) a material breach of this Agreement by the other Party that remains uncured for fifteen (15) days after written notice of such breach; (b) the other Party's insolvency, bankruptcy filing, or assignment for the benefit of creditors; or (c) the EP's material misrepresentation to a Client or fraudulent conduct.</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10.5  Survival of Royalty Rights. </w:t>
      </w:r>
      <w:r>
        <w:rPr>
          <w:rFonts w:ascii="Arial" w:cs="Arial" w:eastAsia="Arial" w:hAnsi="Arial"/>
          <w:color w:val="444444"/>
          <w:sz w:val="22"/>
          <w:szCs w:val="22"/>
        </w:rPr>
        <w:t xml:space="preserve">Upon termination of this Agreement for any reason, the EP’s right to receive royalties on Client Revenue from EP-Introduced Clients shall survive termination solely with respect to each Client’s unexpired Royalty Window as defined in Section 4.2. If a Client’s 24-month Royalty Window has not yet expired as of the effective date of termination, AIMA shall continue to pay royalties on Client Revenue from that Client through the remainder of that Client’s Royalty Window only. Upon expiration of a Client’s Royalty Window, all royalty obligations with respect to that Client cease regardless of whether the Agreement has been terminated. New client introductions made after the effective date of termination shall not qualify for royalties. Milestone Bonuses under Section 4.2a shall remain payable with respect to thresholds reached prior to termination; no new Milestone Bonuses shall accrue after the effective date of termination. Royalty payments shall continue on a quarterly basis in accordance with Section 4.4 for all qualifying pre-termination Clients through the expiration of their respective Royalty Windows.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10.6  Effect of Termination. </w:t>
      </w:r>
      <w:r>
        <w:rPr>
          <w:rFonts w:ascii="Arial" w:cs="Arial" w:eastAsia="Arial" w:hAnsi="Arial"/>
          <w:color w:val="444444"/>
          <w:sz w:val="22"/>
          <w:szCs w:val="22"/>
        </w:rPr>
        <w:t xml:space="preserve">Upon termination, the EP shall: (a) cease use of all AIMA brand materials and approved sales materials; (b) return or destroy all Confidential Information in the EP's possession; and (c) complete any client engagements already in progress under Project Briefs submitted prior to the termination notice, if AIMA elects to continue such engagements.</w:t>
      </w:r>
    </w:p>
    <w:p>
      <w:pPr>
        <w:spacing w:after="0" w:before="200"/>
      </w:pPr>
    </w:p>
    <w:p>
      <w:pPr>
        <w:pBdr>
          <w:bottom w:val="single" w:color="DDDDDD" w:sz="2"/>
        </w:pBdr>
        <w:spacing w:after="80" w:before="80"/>
      </w:pPr>
    </w:p>
    <w:p>
      <w:pPr>
        <w:spacing w:after="0" w:before="200"/>
      </w:pPr>
    </w:p>
    <w:p>
      <w:pPr>
        <w:pStyle w:val="Heading1"/>
        <w:pageBreakBefore/>
        <w:keepNext/>
        <w:pBdr>
          <w:bottom w:val="single" w:color="00D9F5" w:sz="6" w:space="6"/>
        </w:pBdr>
        <w:spacing w:after="120" w:before="0"/>
      </w:pPr>
      <w:r>
        <w:rPr>
          <w:rFonts w:ascii="Arial" w:cs="Arial" w:eastAsia="Arial" w:hAnsi="Arial"/>
          <w:b/>
          <w:bCs/>
          <w:color w:val="060810"/>
          <w:sz w:val="26"/>
          <w:szCs w:val="26"/>
        </w:rPr>
        <w:t xml:space="preserve">SECTION 11 — LIMITATION OF LIABILITY AND INDEMNIFICATION</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11.1  Limitation of Liability. </w:t>
      </w:r>
      <w:r>
        <w:rPr>
          <w:rFonts w:ascii="Arial" w:cs="Arial" w:eastAsia="Arial" w:hAnsi="Arial"/>
          <w:color w:val="444444"/>
          <w:sz w:val="22"/>
          <w:szCs w:val="22"/>
        </w:rPr>
        <w:t xml:space="preserve">NEITHER PARTY SHALL BE LIABLE TO THE OTHER FOR ANY INDIRECT, INCIDENTAL, SPECIAL, CONSEQUENTIAL, EXEMPLARY, OR PUNITIVE DAMAGES ARISING OUT OF OR RELATED TO THIS AGREEMENT, INCLUDING LOSS OF PROFITS, LOSS OF REVENUE, LOSS OF GOODWILL, OR LOSS OF ANTICIPATED SAVINGS, REGARDLESS OF THE FORM OF ACTION AND WHETHER SUCH DAMAGES WERE FORESEEABLE OR AIMA WAS ADVISED OF THE POSSIBILITY THEREOF.</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11.2  Maximum Liability Cap. </w:t>
      </w:r>
      <w:r>
        <w:rPr>
          <w:rFonts w:ascii="Arial" w:cs="Arial" w:eastAsia="Arial" w:hAnsi="Arial"/>
          <w:color w:val="444444"/>
          <w:sz w:val="22"/>
          <w:szCs w:val="22"/>
        </w:rPr>
        <w:t xml:space="preserve">AIMA's total cumulative liability to the EP for any claims arising under or related to this Agreement shall not exceed the total royalty and markup amounts paid by AIMA to the EP in the twelve (12) months preceding the claim.</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11.3  EP Indemnification. </w:t>
      </w:r>
      <w:r>
        <w:rPr>
          <w:rFonts w:ascii="Arial" w:cs="Arial" w:eastAsia="Arial" w:hAnsi="Arial"/>
          <w:color w:val="444444"/>
          <w:sz w:val="22"/>
          <w:szCs w:val="22"/>
        </w:rPr>
        <w:t xml:space="preserve">The EP shall defend, indemnify, and hold harmless AIMA and its officers, members, employees, and agents from and against any claims, liabilities, losses, damages, and expenses (including reasonable attorneys' fees) arising from: (a) the EP's breach of any representation, warranty, or obligation under this Agreement; (b) any misrepresentation made by the EP to a Client that exceeds AIMA's approved materials; (c) any negligent or wrongful act or omission by the EP; or (d) the EP's failure to comply with applicable tax or regulatory obligations.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11.4  AIMA Indemnification. </w:t>
      </w:r>
      <w:r>
        <w:rPr>
          <w:rFonts w:ascii="Arial" w:cs="Arial" w:eastAsia="Arial" w:hAnsi="Arial"/>
          <w:color w:val="444444"/>
          <w:sz w:val="22"/>
          <w:szCs w:val="22"/>
        </w:rPr>
        <w:t xml:space="preserve">AIMA shall defend, indemnify, and hold harmless the EP from and against any claims arising from AIMA's breach of its production obligations to a Client, provided such claims are not attributable to the EP's misrepresentation.</w:t>
      </w:r>
    </w:p>
    <w:p>
      <w:pPr>
        <w:spacing w:after="0" w:before="200"/>
      </w:pPr>
    </w:p>
    <w:p>
      <w:pPr>
        <w:pBdr>
          <w:bottom w:val="single" w:color="DDDDDD" w:sz="2"/>
        </w:pBdr>
        <w:spacing w:after="80" w:before="80"/>
      </w:pPr>
    </w:p>
    <w:p>
      <w:pPr>
        <w:spacing w:after="0" w:before="200"/>
      </w:pPr>
    </w:p>
    <w:p>
      <w:pPr>
        <w:pStyle w:val="Heading1"/>
        <w:pageBreakBefore/>
        <w:keepNext/>
        <w:pBdr>
          <w:bottom w:val="single" w:color="00D9F5" w:sz="6" w:space="6"/>
        </w:pBdr>
        <w:spacing w:after="120" w:before="0"/>
      </w:pPr>
      <w:r>
        <w:rPr>
          <w:rFonts w:ascii="Arial" w:cs="Arial" w:eastAsia="Arial" w:hAnsi="Arial"/>
          <w:b/>
          <w:bCs/>
          <w:color w:val="060810"/>
          <w:sz w:val="26"/>
          <w:szCs w:val="26"/>
        </w:rPr>
        <w:t xml:space="preserve">SECTION 12 — DISPUTE RESOLUTION AND GOVERNING LAW</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12.1  Governing Law. </w:t>
      </w:r>
      <w:r>
        <w:rPr>
          <w:rFonts w:ascii="Arial" w:cs="Arial" w:eastAsia="Arial" w:hAnsi="Arial"/>
          <w:color w:val="444444"/>
          <w:sz w:val="22"/>
          <w:szCs w:val="22"/>
        </w:rPr>
        <w:t xml:space="preserve">This Agreement shall be governed by and construed in accordance with the laws of the State of California, without regard to its conflict of laws principles.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12.2  Informal Resolution. </w:t>
      </w:r>
      <w:r>
        <w:rPr>
          <w:rFonts w:ascii="Arial" w:cs="Arial" w:eastAsia="Arial" w:hAnsi="Arial"/>
          <w:color w:val="444444"/>
          <w:sz w:val="22"/>
          <w:szCs w:val="22"/>
        </w:rPr>
        <w:t xml:space="preserve">In the event of any dispute arising from or relating to this Agreement, the Parties shall first attempt to resolve the dispute informally through good-faith negotiation for a period of thirty (30) days after one Party notifies the other in writing of the dispute.</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12.3  Binding Arbitration. </w:t>
      </w:r>
      <w:r>
        <w:rPr>
          <w:rFonts w:ascii="Arial" w:cs="Arial" w:eastAsia="Arial" w:hAnsi="Arial"/>
          <w:color w:val="444444"/>
          <w:sz w:val="22"/>
          <w:szCs w:val="22"/>
        </w:rPr>
        <w:t xml:space="preserve">If informal resolution fails, any dispute arising out of or related to this Agreement shall be resolved by binding arbitration administered by JAMS or the American Arbitration Association (AAA) pursuant to its Commercial Arbitration Rules, before a single arbitrator. The arbitration shall take place in Los Angeles County, California. The arbitrator's decision shall be final and binding and may be entered as a judgment in any court of competent jurisdiction.</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12.4  Exception for Injunctive Relief. </w:t>
      </w:r>
      <w:r>
        <w:rPr>
          <w:rFonts w:ascii="Arial" w:cs="Arial" w:eastAsia="Arial" w:hAnsi="Arial"/>
          <w:color w:val="444444"/>
          <w:sz w:val="22"/>
          <w:szCs w:val="22"/>
        </w:rPr>
        <w:t xml:space="preserve">Notwithstanding Section 12.3, either Party may seek injunctive or other equitable relief from a court of competent jurisdiction to prevent immediate and irreparable harm pending arbitration, including enforcement of confidentiality and non-solicitation obligations.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12.5  Venue. </w:t>
      </w:r>
      <w:r>
        <w:rPr>
          <w:rFonts w:ascii="Arial" w:cs="Arial" w:eastAsia="Arial" w:hAnsi="Arial"/>
          <w:color w:val="444444"/>
          <w:sz w:val="22"/>
          <w:szCs w:val="22"/>
        </w:rPr>
        <w:t xml:space="preserve">For any court proceedings permitted under this Agreement, the Parties consent to exclusive jurisdiction and venue in the state and federal courts located in Los Angeles County, California.</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12.6  Waiver of Class Action. </w:t>
      </w:r>
      <w:r>
        <w:rPr>
          <w:rFonts w:ascii="Arial" w:cs="Arial" w:eastAsia="Arial" w:hAnsi="Arial"/>
          <w:color w:val="444444"/>
          <w:sz w:val="22"/>
          <w:szCs w:val="22"/>
        </w:rPr>
        <w:t xml:space="preserve">All arbitration proceedings shall be conducted on an individual basis. The EP expressly waives any right to pursue disputes as a class action, collective action, or representative action.</w:t>
      </w:r>
    </w:p>
    <w:p>
      <w:pPr>
        <w:spacing w:after="0" w:before="200"/>
      </w:pPr>
    </w:p>
    <w:p>
      <w:pPr>
        <w:pBdr>
          <w:bottom w:val="single" w:color="DDDDDD" w:sz="2"/>
        </w:pBdr>
        <w:spacing w:after="80" w:before="80"/>
      </w:pPr>
    </w:p>
    <w:p>
      <w:pPr>
        <w:spacing w:after="0" w:before="200"/>
      </w:pPr>
    </w:p>
    <w:p>
      <w:pPr>
        <w:pStyle w:val="Heading1"/>
        <w:pageBreakBefore/>
        <w:keepNext/>
        <w:pBdr>
          <w:bottom w:val="single" w:color="00D9F5" w:sz="6" w:space="6"/>
        </w:pBdr>
        <w:spacing w:after="120" w:before="0"/>
      </w:pPr>
      <w:r>
        <w:rPr>
          <w:rFonts w:ascii="Arial" w:cs="Arial" w:eastAsia="Arial" w:hAnsi="Arial"/>
          <w:b/>
          <w:bCs/>
          <w:color w:val="060810"/>
          <w:sz w:val="26"/>
          <w:szCs w:val="26"/>
        </w:rPr>
        <w:t xml:space="preserve">SECTION 13 — GENERAL PROVISIONS</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13.1  Entire Agreement. </w:t>
      </w:r>
      <w:r>
        <w:rPr>
          <w:rFonts w:ascii="Arial" w:cs="Arial" w:eastAsia="Arial" w:hAnsi="Arial"/>
          <w:color w:val="444444"/>
          <w:sz w:val="22"/>
          <w:szCs w:val="22"/>
        </w:rPr>
        <w:t xml:space="preserve">This Agreement constitutes the entire agreement between the Parties with respect to its subject matter and supersedes all prior or contemporaneous agreements, representations, negotiations, and understandings of any kind. No prior drafts shall be used in interpreting this Agreement.</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13.2  Amendments. </w:t>
      </w:r>
      <w:r>
        <w:rPr>
          <w:rFonts w:ascii="Arial" w:cs="Arial" w:eastAsia="Arial" w:hAnsi="Arial"/>
          <w:color w:val="444444"/>
          <w:sz w:val="22"/>
          <w:szCs w:val="22"/>
        </w:rPr>
        <w:t xml:space="preserve">This Agreement may be amended only by a written instrument signed by authorized representatives of both Parties. No oral modification shall be binding.</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13.3  Waiver. </w:t>
      </w:r>
      <w:r>
        <w:rPr>
          <w:rFonts w:ascii="Arial" w:cs="Arial" w:eastAsia="Arial" w:hAnsi="Arial"/>
          <w:color w:val="444444"/>
          <w:sz w:val="22"/>
          <w:szCs w:val="22"/>
        </w:rPr>
        <w:t xml:space="preserve">A Party's failure to exercise or enforce any right or provision of this Agreement shall not constitute a waiver of that right or provision. No waiver of any breach shall constitute a waiver of any subsequent breach.</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13.4  Severability. </w:t>
      </w:r>
      <w:r>
        <w:rPr>
          <w:rFonts w:ascii="Arial" w:cs="Arial" w:eastAsia="Arial" w:hAnsi="Arial"/>
          <w:color w:val="444444"/>
          <w:sz w:val="22"/>
          <w:szCs w:val="22"/>
        </w:rPr>
        <w:t xml:space="preserve">If any provision of this Agreement is held by a court or arbitrator of competent jurisdiction to be invalid, illegal, or unenforceable, such provision shall be modified to the minimum extent necessary to make it enforceable, and the remaining provisions shall continue in full force and effect.</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13.5  Assignment. </w:t>
      </w:r>
      <w:r>
        <w:rPr>
          <w:rFonts w:ascii="Arial" w:cs="Arial" w:eastAsia="Arial" w:hAnsi="Arial"/>
          <w:color w:val="444444"/>
          <w:sz w:val="22"/>
          <w:szCs w:val="22"/>
        </w:rPr>
        <w:t xml:space="preserve">The EP may not assign, transfer, delegate, or sublicense any rights or obligations under this Agreement without AIMA's prior written consent. AIMA may assign this Agreement in connection with a merger, acquisition, or sale of substantially all of its assets, provided the successor entity assumes all obligations hereunder.</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13.6  Notices. </w:t>
      </w:r>
      <w:r>
        <w:rPr>
          <w:rFonts w:ascii="Arial" w:cs="Arial" w:eastAsia="Arial" w:hAnsi="Arial"/>
          <w:color w:val="444444"/>
          <w:sz w:val="22"/>
          <w:szCs w:val="22"/>
        </w:rPr>
        <w:t xml:space="preserve">All notices required or permitted under this Agreement shall be in writing and delivered by: (a) email with confirmed delivery; (b) certified mail, return receipt requested; or (c) nationally recognized overnight courier. Notices shall be addressed to the email or physical address set forth on the cover page of this Agreement, or such other address as a Party may designate in writing.</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13.7  Counterparts and Electronic Signatures. </w:t>
      </w:r>
      <w:r>
        <w:rPr>
          <w:rFonts w:ascii="Arial" w:cs="Arial" w:eastAsia="Arial" w:hAnsi="Arial"/>
          <w:color w:val="444444"/>
          <w:sz w:val="22"/>
          <w:szCs w:val="22"/>
        </w:rPr>
        <w:t xml:space="preserve">This Agreement may be executed in counterparts, each of which shall constitute an original, and all of which together shall constitute one binding agreement. Electronic signatures (including DocuSign and similar platforms) shall be deemed valid and enforceable to the same extent as original signatures pursuant to the Electronic Signatures in Global and National Commerce Act (E-SIGN Act, 15 U.S.C. § 7001 et seq.) and the California Uniform Electronic Transactions Act (Cal. Civ. Code § 1633.1 et seq.).</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13.8  Force Majeure. </w:t>
      </w:r>
      <w:r>
        <w:rPr>
          <w:rFonts w:ascii="Arial" w:cs="Arial" w:eastAsia="Arial" w:hAnsi="Arial"/>
          <w:color w:val="444444"/>
          <w:sz w:val="22"/>
          <w:szCs w:val="22"/>
        </w:rPr>
        <w:t xml:space="preserve">Neither Party shall be liable for delays or failures in performance resulting from causes beyond their reasonable control, including acts of God, government actions, pandemics, natural disasters, or major platform outages affecting AIMA's production tools, provided the affected Party gives prompt written notice and uses commercially reasonable efforts to resume performance.</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13.9  No Third-Party Beneficiaries. </w:t>
      </w:r>
      <w:r>
        <w:rPr>
          <w:rFonts w:ascii="Arial" w:cs="Arial" w:eastAsia="Arial" w:hAnsi="Arial"/>
          <w:color w:val="444444"/>
          <w:sz w:val="22"/>
          <w:szCs w:val="22"/>
        </w:rPr>
        <w:t xml:space="preserve">This Agreement is for the sole benefit of the Parties hereto and their permitted successors and assigns. Nothing herein shall create any rights in any third party, including any Client introduced by the EP.</w:t>
      </w:r>
    </w:p>
    <w:p>
      <w:pPr>
        <w:spacing w:after="0" w:before="80"/>
      </w:pPr>
    </w:p>
    <w:p>
      <w:pPr>
        <w:pStyle w:val="ListParagraph"/>
        <w:numPr>
          <w:ilvl w:val="0"/>
          <w:numId w:val="2"/>
        </w:numPr>
        <w:spacing w:after="80" w:before="160"/>
        <w:jc w:val="both"/>
      </w:pPr>
      <w:r>
        <w:rPr>
          <w:rFonts w:ascii="Arial" w:cs="Arial" w:eastAsia="Arial" w:hAnsi="Arial"/>
          <w:b/>
          <w:bCs/>
          <w:color w:val="060810"/>
          <w:sz w:val="22"/>
          <w:szCs w:val="22"/>
        </w:rPr>
        <w:t xml:space="preserve">13.10  Legal Counsel Advisory. </w:t>
      </w:r>
      <w:r>
        <w:rPr>
          <w:rFonts w:ascii="Arial" w:cs="Arial" w:eastAsia="Arial" w:hAnsi="Arial"/>
          <w:color w:val="444444"/>
          <w:sz w:val="22"/>
          <w:szCs w:val="22"/>
        </w:rPr>
        <w:t xml:space="preserve">BOTH PARTIES ACKNOWLEDGE THAT THEY HAVE HAD THE OPPORTUNITY TO SEEK INDEPENDENT LEGAL COUNSEL PRIOR TO EXECUTING THIS AGREEMENT AND HAVE EITHER DONE SO OR KNOWINGLY ELECTED NOT TO DO SO. THIS AGREEMENT HAS BEEN REVIEWED BY AIMA AND IS INTENDED TO COMPLY WITH APPLICABLE CALIFORNIA AND FEDERAL LAW AS OF THE EFFECTIVE DATE, BUT AIMA MAKES NO WARRANTY THAT IT IS FREE FROM LEGAL DEFECT. BOTH PARTIES ARE ADVISED TO CONSULT AN ATTORNEY LICENSED IN THEIR JURISDICTION BEFORE EXECUTING THIS AGREEMENT.</w:t>
      </w:r>
    </w:p>
    <w:p>
      <w:pPr>
        <w:spacing w:after="0" w:before="200"/>
      </w:pPr>
    </w:p>
    <w:p>
      <w:pPr>
        <w:pBdr>
          <w:bottom w:val="single" w:color="DDDDDD" w:sz="2"/>
        </w:pBdr>
        <w:spacing w:after="80" w:before="80"/>
      </w:pPr>
    </w:p>
    <w:p>
      <w:pPr>
        <w:spacing w:after="0" w:before="200"/>
      </w:pPr>
    </w:p>
    <w:p>
      <w:pPr>
        <w:pStyle w:val="Heading1"/>
        <w:keepNext/>
        <w:pBdr>
          <w:bottom w:val="single" w:color="00D9F5" w:sz="6" w:space="6"/>
        </w:pBdr>
        <w:spacing w:after="120" w:before="160"/>
      </w:pPr>
      <w:r>
        <w:rPr>
          <w:rFonts w:ascii="Arial" w:cs="Arial" w:eastAsia="Arial" w:hAnsi="Arial"/>
          <w:b/>
          <w:bCs/>
          <w:color w:val="060810"/>
          <w:sz w:val="26"/>
          <w:szCs w:val="26"/>
        </w:rPr>
        <w:t xml:space="preserve">SIGNATURES</w:t>
      </w:r>
    </w:p>
    <w:p>
      <w:pPr>
        <w:spacing w:after="0" w:before="80"/>
      </w:pPr>
    </w:p>
    <w:p>
      <w:pPr>
        <w:spacing w:after="80" w:before="80"/>
        <w:jc w:val="both"/>
      </w:pPr>
      <w:r>
        <w:rPr>
          <w:rFonts w:ascii="Arial" w:cs="Arial" w:eastAsia="Arial" w:hAnsi="Arial"/>
          <w:color w:val="444444"/>
          <w:sz w:val="22"/>
          <w:szCs w:val="22"/>
        </w:rPr>
        <w:t xml:space="preserve">IN WITNESS WHEREOF, the Parties have executed this Executive Producer Partnership Agreement as of the Effective Date set forth on the cover page.</w:t>
      </w:r>
    </w:p>
    <w:p>
      <w:pPr>
        <w:spacing w:after="0" w:before="200"/>
      </w:pPr>
    </w:p>
    <w:p>
      <w:pPr>
        <w:tabs>
          <w:tab w:val="left" w:pos="5040"/>
        </w:tabs>
        <w:spacing w:after="40" w:before="120"/>
      </w:pPr>
      <w:r>
        <w:rPr>
          <w:rFonts w:ascii="Arial" w:cs="Arial" w:eastAsia="Arial" w:hAnsi="Arial"/>
          <w:b/>
          <w:bCs/>
          <w:color w:val="060810"/>
          <w:sz w:val="22"/>
          <w:szCs w:val="22"/>
        </w:rPr>
        <w:t xml:space="preserve">MONKEY MATTERS LLC</w:t>
      </w:r>
      <w:r>
        <w:rPr>
          <w:rFonts w:ascii="Arial" w:cs="Arial" w:eastAsia="Arial" w:hAnsi="Arial"/>
        </w:rPr>
        <w:t xml:space="preserve">	</w:t>
      </w:r>
      <w:r>
        <w:rPr>
          <w:rFonts w:ascii="Arial" w:cs="Arial" w:eastAsia="Arial" w:hAnsi="Arial"/>
          <w:b/>
          <w:bCs/>
          <w:color w:val="060810"/>
          <w:sz w:val="22"/>
          <w:szCs w:val="22"/>
        </w:rPr>
        <w:t xml:space="preserve">EXECUTIVE PRODUCER</w:t>
      </w:r>
    </w:p>
    <w:p>
      <w:pPr>
        <w:tabs>
          <w:tab w:val="left" w:pos="5040"/>
        </w:tabs>
        <w:spacing w:after="40" w:before="0"/>
      </w:pPr>
      <w:r>
        <w:rPr>
          <w:rFonts w:ascii="Arial" w:cs="Arial" w:eastAsia="Arial" w:hAnsi="Arial"/>
          <w:i/>
          <w:iCs/>
          <w:color w:val="888888"/>
          <w:sz w:val="20"/>
          <w:szCs w:val="20"/>
        </w:rPr>
        <w:t xml:space="preserve">Operating as AI Media Agency</w:t>
      </w:r>
      <w:r>
        <w:rPr>
          <w:rFonts w:ascii="Arial" w:cs="Arial" w:eastAsia="Arial" w:hAnsi="Arial"/>
        </w:rPr>
        <w:t xml:space="preserve">	</w:t>
      </w:r>
      <w:r>
        <w:rPr>
          <w:rFonts w:ascii="Arial" w:cs="Arial" w:eastAsia="Arial" w:hAnsi="Arial"/>
          <w:i/>
          <w:iCs/>
          <w:color w:val="888888"/>
          <w:sz w:val="20"/>
          <w:szCs w:val="20"/>
        </w:rPr>
        <w:t xml:space="preserve">[EP Business Entity Name]</w:t>
      </w:r>
    </w:p>
    <w:p>
      <w:pPr>
        <w:spacing w:after="0" w:before="200"/>
      </w:pPr>
    </w:p>
    <w:p>
      <w:pPr>
        <w:pBdr>
          <w:bottom w:val="single" w:color="060810" w:sz="4" w:space="40"/>
        </w:pBdr>
        <w:tabs>
          <w:tab w:val="left" w:pos="5040"/>
        </w:tabs>
        <w:spacing w:after="40" w:before="0"/>
      </w:pPr>
      <w:r>
        <w:rPr>
          <w:rFonts w:ascii="Arial" w:cs="Arial" w:eastAsia="Arial" w:hAnsi="Arial"/>
          <w:sz w:val="22"/>
          <w:szCs w:val="22"/>
        </w:rPr>
        <w:t xml:space="preserve">                                                  </w:t>
      </w:r>
    </w:p>
    <w:p>
      <w:pPr>
        <w:tabs>
          <w:tab w:val="left" w:pos="5040"/>
        </w:tabs>
        <w:spacing w:after="120" w:before="40"/>
      </w:pPr>
      <w:r>
        <w:rPr>
          <w:rFonts w:ascii="Arial" w:cs="Arial" w:eastAsia="Arial" w:hAnsi="Arial"/>
          <w:i/>
          <w:iCs/>
          <w:color w:val="888888"/>
          <w:sz w:val="18"/>
          <w:szCs w:val="18"/>
        </w:rPr>
        <w:t xml:space="preserve">Authorized Signature</w:t>
      </w:r>
      <w:r>
        <w:rPr>
          <w:rFonts w:ascii="Arial" w:cs="Arial" w:eastAsia="Arial" w:hAnsi="Arial"/>
        </w:rPr>
        <w:t xml:space="preserve">	</w:t>
      </w:r>
      <w:r>
        <w:rPr>
          <w:rFonts w:ascii="Arial" w:cs="Arial" w:eastAsia="Arial" w:hAnsi="Arial"/>
          <w:i/>
          <w:iCs/>
          <w:color w:val="888888"/>
          <w:sz w:val="18"/>
          <w:szCs w:val="18"/>
        </w:rPr>
        <w:t xml:space="preserve">Authorized Signature</w:t>
      </w:r>
    </w:p>
    <w:p>
      <w:pPr>
        <w:tabs>
          <w:tab w:val="left" w:pos="5040"/>
        </w:tabs>
        <w:spacing w:after="0" w:before="160"/>
      </w:pPr>
      <w:r>
        <w:rPr>
          <w:rFonts w:ascii="Arial" w:cs="Arial" w:eastAsia="Arial" w:hAnsi="Arial"/>
          <w:color w:val="444444"/>
          <w:sz w:val="22"/>
          <w:szCs w:val="22"/>
        </w:rPr>
        <w:t xml:space="preserve">Print Name: ________________________</w:t>
      </w:r>
      <w:r>
        <w:rPr>
          <w:rFonts w:ascii="Arial" w:cs="Arial" w:eastAsia="Arial" w:hAnsi="Arial"/>
        </w:rPr>
        <w:t xml:space="preserve">	</w:t>
      </w:r>
      <w:r>
        <w:rPr>
          <w:rFonts w:ascii="Arial" w:cs="Arial" w:eastAsia="Arial" w:hAnsi="Arial"/>
          <w:color w:val="444444"/>
          <w:sz w:val="22"/>
          <w:szCs w:val="22"/>
        </w:rPr>
        <w:t xml:space="preserve">Print Name: ________________________</w:t>
      </w:r>
    </w:p>
    <w:p>
      <w:pPr>
        <w:tabs>
          <w:tab w:val="left" w:pos="5040"/>
        </w:tabs>
        <w:spacing w:after="0" w:before="120"/>
      </w:pPr>
      <w:r>
        <w:rPr>
          <w:rFonts w:ascii="Arial" w:cs="Arial" w:eastAsia="Arial" w:hAnsi="Arial"/>
          <w:color w:val="444444"/>
          <w:sz w:val="22"/>
          <w:szCs w:val="22"/>
        </w:rPr>
        <w:t xml:space="preserve">Title: _______________________________</w:t>
      </w:r>
      <w:r>
        <w:rPr>
          <w:rFonts w:ascii="Arial" w:cs="Arial" w:eastAsia="Arial" w:hAnsi="Arial"/>
        </w:rPr>
        <w:t xml:space="preserve">	</w:t>
      </w:r>
      <w:r>
        <w:rPr>
          <w:rFonts w:ascii="Arial" w:cs="Arial" w:eastAsia="Arial" w:hAnsi="Arial"/>
          <w:color w:val="444444"/>
          <w:sz w:val="22"/>
          <w:szCs w:val="22"/>
        </w:rPr>
        <w:t xml:space="preserve">Title: _______________________________</w:t>
      </w:r>
    </w:p>
    <w:p>
      <w:pPr>
        <w:tabs>
          <w:tab w:val="left" w:pos="5040"/>
        </w:tabs>
        <w:spacing w:after="0" w:before="120"/>
      </w:pPr>
      <w:r>
        <w:rPr>
          <w:rFonts w:ascii="Arial" w:cs="Arial" w:eastAsia="Arial" w:hAnsi="Arial"/>
          <w:color w:val="444444"/>
          <w:sz w:val="22"/>
          <w:szCs w:val="22"/>
        </w:rPr>
        <w:t xml:space="preserve">Date: ________________________________</w:t>
      </w:r>
      <w:r>
        <w:rPr>
          <w:rFonts w:ascii="Arial" w:cs="Arial" w:eastAsia="Arial" w:hAnsi="Arial"/>
        </w:rPr>
        <w:t xml:space="preserve">	</w:t>
      </w:r>
      <w:r>
        <w:rPr>
          <w:rFonts w:ascii="Arial" w:cs="Arial" w:eastAsia="Arial" w:hAnsi="Arial"/>
          <w:color w:val="444444"/>
          <w:sz w:val="22"/>
          <w:szCs w:val="22"/>
        </w:rPr>
        <w:t xml:space="preserve">Date: ________________________________</w:t>
      </w:r>
    </w:p>
    <w:p>
      <w:pPr>
        <w:spacing w:after="0" w:before="400"/>
      </w:pPr>
    </w:p>
    <w:p>
      <w:pPr>
        <w:pBdr>
          <w:bottom w:val="single" w:color="DDDDDD" w:sz="2"/>
        </w:pBdr>
        <w:spacing w:after="80" w:before="80"/>
      </w:pPr>
    </w:p>
    <w:p>
      <w:pPr>
        <w:spacing w:after="0" w:before="200"/>
      </w:pPr>
    </w:p>
    <w:p>
      <w:pPr>
        <w:pageBreakBefore/>
        <w:spacing w:after="80" w:before="160"/>
        <w:jc w:val="center"/>
      </w:pPr>
      <w:r>
        <w:rPr>
          <w:rFonts w:ascii="Arial" w:cs="Arial" w:eastAsia="Arial" w:hAnsi="Arial"/>
          <w:b/>
          <w:bCs/>
          <w:color w:val="060810"/>
          <w:sz w:val="26"/>
          <w:szCs w:val="26"/>
        </w:rPr>
        <w:t xml:space="preserve">EXHIBIT A — AIMA RATE CARD SUMMARY</w:t>
      </w:r>
    </w:p>
    <w:p>
      <w:pPr>
        <w:spacing w:after="160" w:before="0"/>
        <w:jc w:val="center"/>
      </w:pPr>
      <w:r>
        <w:rPr>
          <w:rFonts w:ascii="Arial" w:cs="Arial" w:eastAsia="Arial" w:hAnsi="Arial"/>
          <w:i/>
          <w:iCs/>
          <w:color w:val="888888"/>
          <w:sz w:val="20"/>
          <w:szCs w:val="20"/>
        </w:rPr>
        <w:t xml:space="preserve">Current as of the Effective Date · Subject to revision with 14 days'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2"/>
              <w:left w:val="single" w:color="DDDDDD" w:sz="2"/>
              <w:bottom w:val="single" w:color="DDDDDD" w:sz="2"/>
              <w:right w:val="single" w:color="DDDDDD" w:sz="2"/>
            </w:tcBorders>
            <w:shd w:fill="06081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480"/>
            <w:tcBorders>
              <w:top w:val="single" w:color="DDDDDD" w:sz="2"/>
              <w:left w:val="single" w:color="DDDDDD" w:sz="2"/>
              <w:bottom w:val="single" w:color="DDDDDD" w:sz="2"/>
              <w:right w:val="single" w:color="DDDDDD" w:sz="2"/>
            </w:tcBorders>
            <w:shd w:fill="060810" w:val="clear"/>
            <w:tcMar>
              <w:top w:type="dxa" w:w="80"/>
              <w:left w:type="dxa" w:w="120"/>
              <w:bottom w:type="dxa" w:w="80"/>
              <w:right w:type="dxa" w:w="120"/>
            </w:tcMar>
          </w:tcPr>
          <w:p>
            <w:r>
              <w:rPr>
                <w:rFonts w:ascii="Arial" w:cs="Arial" w:eastAsia="Arial" w:hAnsi="Arial"/>
                <w:b/>
                <w:bCs/>
                <w:color w:val="FFFFFF"/>
                <w:sz w:val="20"/>
                <w:szCs w:val="20"/>
              </w:rPr>
              <w:t xml:space="preserve">AIMA Base Rate</w:t>
            </w:r>
          </w:p>
        </w:tc>
        <w:tc>
          <w:tcPr>
            <w:tcW w:type="dxa" w:w="3480"/>
            <w:tcBorders>
              <w:top w:val="single" w:color="DDDDDD" w:sz="2"/>
              <w:left w:val="single" w:color="DDDDDD" w:sz="2"/>
              <w:bottom w:val="single" w:color="DDDDDD" w:sz="2"/>
              <w:right w:val="single" w:color="DDDDDD" w:sz="2"/>
            </w:tcBorders>
            <w:shd w:fill="060810" w:val="clear"/>
            <w:tcMar>
              <w:top w:type="dxa" w:w="80"/>
              <w:left w:type="dxa" w:w="120"/>
              <w:bottom w:type="dxa" w:w="80"/>
              <w:right w:type="dxa" w:w="120"/>
            </w:tcMar>
          </w:tcPr>
          <w:p>
            <w:r>
              <w:rPr>
                <w:rFonts w:ascii="Arial" w:cs="Arial" w:eastAsia="Arial" w:hAnsi="Arial"/>
                <w:b/>
                <w:bCs/>
                <w:color w:val="FFFFFF"/>
                <w:sz w:val="20"/>
                <w:szCs w:val="20"/>
              </w:rPr>
              <w:t xml:space="preserve">Max EP Quote (+20%)</w:t>
            </w:r>
          </w:p>
        </w:tc>
      </w:tr>
      <w:tr>
        <w:tc>
          <w:tcPr>
            <w:tcW w:type="dxa" w:w="24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Radio Spot (30–60 sec)</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$500 – $2,000</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$600 – $2,400</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Corporate Explainer (1–3 min)</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$2,000 – $8,000</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$2,400 – $9,600</w:t>
            </w:r>
          </w:p>
        </w:tc>
      </w:tr>
      <w:tr>
        <w:tc>
          <w:tcPr>
            <w:tcW w:type="dxa" w:w="24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TV Commercial / Promo</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$3,500 – $12,000</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$4,200 – $14,400</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Music Video (2–5 min)</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$5,000 – $18,000</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$6,000 – $21,600</w:t>
            </w:r>
          </w:p>
        </w:tc>
      </w:tr>
      <w:tr>
        <w:tc>
          <w:tcPr>
            <w:tcW w:type="dxa" w:w="24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Training / Instructional (per module)</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$1,500 – $5,000</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$1,800 – $6,000</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Motion Graphics / Animation (per min)</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$1,000 – $4,000</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$1,200 – $4,800</w:t>
            </w:r>
          </w:p>
        </w:tc>
      </w:tr>
      <w:tr>
        <w:tc>
          <w:tcPr>
            <w:tcW w:type="dxa" w:w="24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Social Media Package (5 assets)</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$800 – $3,000</w:t>
            </w:r>
          </w:p>
        </w:tc>
        <w:tc>
          <w:tcPr>
            <w:tcW w:type="dxa" w:w="348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$960 – $3,600</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Original Music / Jingle</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$500 – $2,500</w:t>
            </w:r>
          </w:p>
        </w:tc>
        <w:tc>
          <w:tcPr>
            <w:tcW w:type="dxa" w:w="34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$600 – $3,000</w:t>
            </w:r>
          </w:p>
        </w:tc>
      </w:tr>
    </w:tbl>
    <w:p>
      <w:pPr>
        <w:spacing w:after="0" w:before="80"/>
      </w:pPr>
    </w:p>
    <w:p>
      <w:pPr>
        <w:spacing w:after="80" w:before="80"/>
        <w:jc w:val="left"/>
      </w:pPr>
      <w:r>
        <w:rPr>
          <w:rFonts w:ascii="Arial" w:cs="Arial" w:eastAsia="Arial" w:hAnsi="Arial"/>
          <w:i/>
          <w:iCs/>
          <w:color w:val="888888"/>
          <w:sz w:val="22"/>
          <w:szCs w:val="22"/>
        </w:rPr>
        <w:t xml:space="preserve">All rates include script, production, 3 revision rounds, and final delivery in all required formats. Rush projects (+50%) and enterprise packages quoted separately.</w:t>
      </w:r>
    </w:p>
    <w:p>
      <w:pPr>
        <w:spacing w:after="0" w:before="400"/>
      </w:pPr>
    </w:p>
    <w:p>
      <w:pPr>
        <w:pBdr>
          <w:bottom w:val="single" w:color="DDDDDD" w:sz="2"/>
        </w:pBdr>
        <w:spacing w:after="80" w:before="80"/>
      </w:pPr>
    </w:p>
    <w:p>
      <w:pPr>
        <w:spacing w:after="0" w:before="200"/>
      </w:pPr>
    </w:p>
    <w:p>
      <w:pPr>
        <w:spacing w:after="80" w:before="160"/>
        <w:jc w:val="center"/>
      </w:pPr>
      <w:r>
        <w:rPr>
          <w:rFonts w:ascii="Arial" w:cs="Arial" w:eastAsia="Arial" w:hAnsi="Arial"/>
          <w:b/>
          <w:bCs/>
          <w:color w:val="060810"/>
          <w:sz w:val="26"/>
          <w:szCs w:val="26"/>
        </w:rPr>
        <w:t xml:space="preserve">EXHIBIT B — EP ONBOARDING CHECKLIST</w:t>
      </w:r>
    </w:p>
    <w:p>
      <w:pPr>
        <w:spacing w:after="0" w:before="80"/>
      </w:pPr>
    </w:p>
    <w:p>
      <w:pPr>
        <w:spacing w:after="80" w:before="80"/>
        <w:jc w:val="left"/>
      </w:pPr>
      <w:r>
        <w:rPr>
          <w:rFonts w:ascii="Arial" w:cs="Arial" w:eastAsia="Arial" w:hAnsi="Arial"/>
          <w:color w:val="444444"/>
          <w:sz w:val="22"/>
          <w:szCs w:val="22"/>
        </w:rPr>
        <w:t xml:space="preserve">The following items must be completed before the EP may submit a Project Brief or receive any payment from AIMA:</w:t>
      </w:r>
    </w:p>
    <w:p>
      <w:pPr>
        <w:spacing w:after="0" w:before="80"/>
      </w:pPr>
    </w:p>
    <w:p>
      <w:pPr>
        <w:pStyle w:val="ListParagraph"/>
        <w:numPr>
          <w:ilvl w:val="0"/>
          <w:numId w:val="3"/>
        </w:numPr>
        <w:spacing w:after="60" w:before="60"/>
      </w:pPr>
      <w:r>
        <w:rPr>
          <w:rFonts w:ascii="Arial" w:cs="Arial" w:eastAsia="Arial" w:hAnsi="Arial"/>
          <w:color w:val="444444"/>
          <w:sz w:val="22"/>
          <w:szCs w:val="22"/>
        </w:rPr>
        <w:t xml:space="preserve">[ ]  Execute this Executive Producer Partnership Agreement (all pages signed)</w:t>
      </w:r>
    </w:p>
    <w:p>
      <w:pPr>
        <w:pStyle w:val="ListParagraph"/>
        <w:numPr>
          <w:ilvl w:val="0"/>
          <w:numId w:val="3"/>
        </w:numPr>
        <w:spacing w:after="60" w:before="60"/>
      </w:pPr>
      <w:r>
        <w:rPr>
          <w:rFonts w:ascii="Arial" w:cs="Arial" w:eastAsia="Arial" w:hAnsi="Arial"/>
          <w:color w:val="444444"/>
          <w:sz w:val="22"/>
          <w:szCs w:val="22"/>
        </w:rPr>
        <w:t xml:space="preserve">[ ]  Submit completed IRS Form W-9 (U.S. EP) or Form W-8BEN / W-8BEN-E (international EP)</w:t>
      </w:r>
    </w:p>
    <w:p>
      <w:pPr>
        <w:pStyle w:val="ListParagraph"/>
        <w:numPr>
          <w:ilvl w:val="0"/>
          <w:numId w:val="3"/>
        </w:numPr>
        <w:spacing w:after="60" w:before="60"/>
      </w:pPr>
      <w:r>
        <w:rPr>
          <w:rFonts w:ascii="Arial" w:cs="Arial" w:eastAsia="Arial" w:hAnsi="Arial"/>
          <w:color w:val="444444"/>
          <w:sz w:val="22"/>
          <w:szCs w:val="22"/>
        </w:rPr>
        <w:t xml:space="preserve">[ ]  Confirm business entity type and provide Employer Identification Number (EIN) or SSN</w:t>
      </w:r>
    </w:p>
    <w:p>
      <w:pPr>
        <w:pStyle w:val="ListParagraph"/>
        <w:numPr>
          <w:ilvl w:val="0"/>
          <w:numId w:val="3"/>
        </w:numPr>
        <w:spacing w:after="60" w:before="60"/>
      </w:pPr>
      <w:r>
        <w:rPr>
          <w:rFonts w:ascii="Arial" w:cs="Arial" w:eastAsia="Arial" w:hAnsi="Arial"/>
          <w:color w:val="444444"/>
          <w:sz w:val="22"/>
          <w:szCs w:val="22"/>
        </w:rPr>
        <w:t xml:space="preserve">[ ]  Provide business address separate from AIMA's place of business</w:t>
      </w:r>
    </w:p>
    <w:p>
      <w:pPr>
        <w:pStyle w:val="ListParagraph"/>
        <w:numPr>
          <w:ilvl w:val="0"/>
          <w:numId w:val="3"/>
        </w:numPr>
        <w:spacing w:after="60" w:before="60"/>
      </w:pPr>
      <w:r>
        <w:rPr>
          <w:rFonts w:ascii="Arial" w:cs="Arial" w:eastAsia="Arial" w:hAnsi="Arial"/>
          <w:color w:val="444444"/>
          <w:sz w:val="22"/>
          <w:szCs w:val="22"/>
        </w:rPr>
        <w:t xml:space="preserve">[ ]  Acknowledge receipt of EP Onboarding Kit (Rate Card, pitch deck, brand guidelines, Project Brief template)</w:t>
      </w:r>
    </w:p>
    <w:p>
      <w:pPr>
        <w:pStyle w:val="ListParagraph"/>
        <w:numPr>
          <w:ilvl w:val="0"/>
          <w:numId w:val="3"/>
        </w:numPr>
        <w:spacing w:after="60" w:before="60"/>
      </w:pPr>
      <w:r>
        <w:rPr>
          <w:rFonts w:ascii="Arial" w:cs="Arial" w:eastAsia="Arial" w:hAnsi="Arial"/>
          <w:color w:val="444444"/>
          <w:sz w:val="22"/>
          <w:szCs w:val="22"/>
        </w:rPr>
        <w:t xml:space="preserve">[ ]  Complete optional 30-minute EP orientation call with AIMA point of contact</w:t>
      </w:r>
    </w:p>
    <w:p>
      <w:pPr>
        <w:pStyle w:val="ListParagraph"/>
        <w:numPr>
          <w:ilvl w:val="0"/>
          <w:numId w:val="3"/>
        </w:numPr>
        <w:spacing w:after="60" w:before="60"/>
      </w:pPr>
      <w:r>
        <w:rPr>
          <w:rFonts w:ascii="Arial" w:cs="Arial" w:eastAsia="Arial" w:hAnsi="Arial"/>
          <w:color w:val="444444"/>
          <w:sz w:val="22"/>
          <w:szCs w:val="22"/>
        </w:rPr>
        <w:t xml:space="preserve">[ ]  Submit first target client identification in writing to AIMA</w:t>
      </w:r>
    </w:p>
    <w:p>
      <w:pPr>
        <w:spacing w:after="0" w:before="400"/>
      </w:pPr>
    </w:p>
    <w:p>
      <w:pPr>
        <w:pageBreakBefore/>
        <w:spacing w:after="80" w:before="160"/>
        <w:jc w:val="center"/>
      </w:pPr>
      <w:r>
        <w:rPr>
          <w:rFonts w:ascii="Arial" w:cs="Arial" w:eastAsia="Arial" w:hAnsi="Arial"/>
          <w:b/>
          <w:bCs/>
          <w:color w:val="060810"/>
          <w:sz w:val="26"/>
          <w:szCs w:val="26"/>
        </w:rPr>
        <w:t xml:space="preserve">EXHIBIT C — PROJECT BRIEF TEMPLATE</w:t>
      </w:r>
    </w:p>
    <w:p>
      <w:pPr>
        <w:spacing w:after="0" w:before="80"/>
      </w:pPr>
    </w:p>
    <w:p>
      <w:pPr>
        <w:spacing w:after="80" w:before="80"/>
        <w:jc w:val="left"/>
      </w:pPr>
      <w:r>
        <w:rPr>
          <w:rFonts w:ascii="Arial" w:cs="Arial" w:eastAsia="Arial" w:hAnsi="Arial"/>
          <w:color w:val="444444"/>
          <w:sz w:val="22"/>
          <w:szCs w:val="22"/>
        </w:rPr>
        <w:t xml:space="preserve">Complete and submit to AIMA prior to any production engagement. AIMA will not commence production without a completed Project Brief.</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60810"/>
                <w:sz w:val="20"/>
                <w:szCs w:val="20"/>
              </w:rPr>
              <w:t xml:space="preserve">EP Name / Entity</w:t>
            </w:r>
          </w:p>
        </w:tc>
        <w:tc>
          <w:tcPr>
            <w:tcW w:type="dxa" w:w="63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60810"/>
                <w:sz w:val="20"/>
                <w:szCs w:val="20"/>
              </w:rPr>
              <w:t xml:space="preserve">EP Agreement Reference No.</w:t>
            </w:r>
          </w:p>
        </w:tc>
        <w:tc>
          <w:tcPr>
            <w:tcW w:type="dxa" w:w="6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AIMA-EP-_______</w:t>
            </w:r>
          </w:p>
        </w:tc>
      </w:tr>
      <w:tr>
        <w:tc>
          <w:tcPr>
            <w:tcW w:type="dxa" w:w="30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60810"/>
                <w:sz w:val="20"/>
                <w:szCs w:val="20"/>
              </w:rPr>
              <w:t xml:space="preserve">Client Name</w:t>
            </w:r>
          </w:p>
        </w:tc>
        <w:tc>
          <w:tcPr>
            <w:tcW w:type="dxa" w:w="63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60810"/>
                <w:sz w:val="20"/>
                <w:szCs w:val="20"/>
              </w:rPr>
              <w:t xml:space="preserve">Client Company</w:t>
            </w:r>
          </w:p>
        </w:tc>
        <w:tc>
          <w:tcPr>
            <w:tcW w:type="dxa" w:w="6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
            </w:r>
          </w:p>
        </w:tc>
      </w:tr>
      <w:tr>
        <w:tc>
          <w:tcPr>
            <w:tcW w:type="dxa" w:w="30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60810"/>
                <w:sz w:val="20"/>
                <w:szCs w:val="20"/>
              </w:rPr>
              <w:t xml:space="preserve">Client Email / Phone</w:t>
            </w:r>
          </w:p>
        </w:tc>
        <w:tc>
          <w:tcPr>
            <w:tcW w:type="dxa" w:w="63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60810"/>
                <w:sz w:val="20"/>
                <w:szCs w:val="20"/>
              </w:rPr>
              <w:t xml:space="preserve">Project Type</w:t>
            </w:r>
          </w:p>
        </w:tc>
        <w:tc>
          <w:tcPr>
            <w:tcW w:type="dxa" w:w="6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 ] Video   [ ] Audio   [ ] Music Video   [ ] Animation   [ ] Other: _____</w:t>
            </w:r>
          </w:p>
        </w:tc>
      </w:tr>
      <w:tr>
        <w:tc>
          <w:tcPr>
            <w:tcW w:type="dxa" w:w="30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60810"/>
                <w:sz w:val="20"/>
                <w:szCs w:val="20"/>
              </w:rPr>
              <w:t xml:space="preserve">Project Description</w:t>
            </w:r>
          </w:p>
        </w:tc>
        <w:tc>
          <w:tcPr>
            <w:tcW w:type="dxa" w:w="63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60810"/>
                <w:sz w:val="20"/>
                <w:szCs w:val="20"/>
              </w:rPr>
              <w:t xml:space="preserve">Target Length / Format</w:t>
            </w:r>
          </w:p>
        </w:tc>
        <w:tc>
          <w:tcPr>
            <w:tcW w:type="dxa" w:w="6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
            </w:r>
          </w:p>
        </w:tc>
      </w:tr>
      <w:tr>
        <w:tc>
          <w:tcPr>
            <w:tcW w:type="dxa" w:w="30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60810"/>
                <w:sz w:val="20"/>
                <w:szCs w:val="20"/>
              </w:rPr>
              <w:t xml:space="preserve">Approved Client Budget (Base Rate)</w:t>
            </w:r>
          </w:p>
        </w:tc>
        <w:tc>
          <w:tcPr>
            <w:tcW w:type="dxa" w:w="63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60810"/>
                <w:sz w:val="20"/>
                <w:szCs w:val="20"/>
              </w:rPr>
              <w:t xml:space="preserve">EP Quoted Amount (incl. markup)</w:t>
            </w:r>
          </w:p>
        </w:tc>
        <w:tc>
          <w:tcPr>
            <w:tcW w:type="dxa" w:w="6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r>
      <w:tr>
        <w:tc>
          <w:tcPr>
            <w:tcW w:type="dxa" w:w="30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60810"/>
                <w:sz w:val="20"/>
                <w:szCs w:val="20"/>
              </w:rPr>
              <w:t xml:space="preserve">Desired Delivery Date</w:t>
            </w:r>
          </w:p>
        </w:tc>
        <w:tc>
          <w:tcPr>
            <w:tcW w:type="dxa" w:w="63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060810"/>
                <w:sz w:val="20"/>
                <w:szCs w:val="20"/>
              </w:rPr>
              <w:t xml:space="preserve">Special Requirements / Notes</w:t>
            </w:r>
          </w:p>
        </w:tc>
        <w:tc>
          <w:tcPr>
            <w:tcW w:type="dxa" w:w="6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44444"/>
                <w:sz w:val="20"/>
                <w:szCs w:val="20"/>
              </w:rPr>
              <w:t xml:space="preserve"/>
            </w:r>
          </w:p>
        </w:tc>
      </w:tr>
      <w:tr>
        <w:tc>
          <w:tcPr>
            <w:tcW w:type="dxa" w:w="300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b/>
                <w:bCs/>
                <w:color w:val="060810"/>
                <w:sz w:val="20"/>
                <w:szCs w:val="20"/>
              </w:rPr>
              <w:t xml:space="preserve">EP Signature / Date</w:t>
            </w:r>
          </w:p>
        </w:tc>
        <w:tc>
          <w:tcPr>
            <w:tcW w:type="dxa" w:w="6360"/>
            <w:tcBorders>
              <w:top w:val="single" w:color="DDDDDD" w:sz="2"/>
              <w:left w:val="single" w:color="DDDDDD" w:sz="2"/>
              <w:bottom w:val="single" w:color="DDDDDD" w:sz="2"/>
              <w:right w:val="single" w:color="DDDDDD" w:sz="2"/>
            </w:tcBorders>
            <w:shd w:fill="F5F5F5" w:val="clear"/>
            <w:tcMar>
              <w:top w:type="dxa" w:w="80"/>
              <w:left w:type="dxa" w:w="120"/>
              <w:bottom w:type="dxa" w:w="80"/>
              <w:right w:type="dxa" w:w="120"/>
            </w:tcMar>
          </w:tcPr>
          <w:p>
            <w:r>
              <w:rPr>
                <w:rFonts w:ascii="Arial" w:cs="Arial" w:eastAsia="Arial" w:hAnsi="Arial"/>
                <w:color w:val="444444"/>
                <w:sz w:val="20"/>
                <w:szCs w:val="20"/>
              </w:rPr>
              <w:t xml:space="preserve"/>
            </w:r>
          </w:p>
        </w:tc>
      </w:tr>
    </w:tbl>
    <w:p>
      <w:pPr>
        <w:spacing w:after="0" w:before="400"/>
      </w:pPr>
    </w:p>
    <w:p>
      <w:pPr>
        <w:pBdr>
          <w:bottom w:val="single" w:color="DDDDDD" w:sz="2"/>
        </w:pBdr>
        <w:spacing w:after="80" w:before="80"/>
      </w:pPr>
    </w:p>
    <w:p>
      <w:pPr>
        <w:spacing w:after="80" w:before="160"/>
        <w:jc w:val="center"/>
      </w:pPr>
      <w:r>
        <w:rPr>
          <w:rFonts w:ascii="Arial" w:cs="Arial" w:eastAsia="Arial" w:hAnsi="Arial"/>
          <w:b/>
          <w:bCs/>
          <w:color w:val="888888"/>
          <w:sz w:val="20"/>
          <w:szCs w:val="20"/>
        </w:rPr>
        <w:t xml:space="preserve">END OF AGREEMENT</w:t>
      </w:r>
    </w:p>
    <w:p>
      <w:pPr>
        <w:spacing w:after="0" w:before="40"/>
        <w:jc w:val="center"/>
      </w:pPr>
      <w:r>
        <w:rPr>
          <w:rFonts w:ascii="Arial" w:cs="Arial" w:eastAsia="Arial" w:hAnsi="Arial"/>
          <w:i/>
          <w:iCs/>
          <w:color w:val="888888"/>
          <w:sz w:val="18"/>
          <w:szCs w:val="18"/>
        </w:rPr>
        <w:t xml:space="preserve">AIMA · AI Media Agency · A Monkey Matters LLC Production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tabs>
        <w:tab w:val="right" w:pos="9026"/>
      </w:tabs>
      <w:spacing w:before="80"/>
      <w:jc w:val="left"/>
    </w:pPr>
    <w:r>
      <w:rPr>
        <w:rFonts w:ascii="Arial" w:cs="Arial" w:eastAsia="Arial" w:hAnsi="Arial"/>
        <w:color w:val="888888"/>
        <w:sz w:val="16"/>
        <w:szCs w:val="16"/>
      </w:rPr>
      <w:t xml:space="preserve">Confidential · Monkey Matters LLC · Page </w:t>
    </w:r>
    <w:fldSimple w:instr="PAGE"/>
    <w:r>
      <w:rPr>
        <w:rFonts w:ascii="Arial" w:cs="Arial" w:eastAsia="Arial" w:hAnsi="Arial"/>
        <w:color w:val="888888"/>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tabs>
        <w:tab w:val="right" w:pos="9026"/>
      </w:tabs>
      <w:spacing w:after="80"/>
    </w:pPr>
    <w:r>
      <w:rPr>
        <w:rFonts w:ascii="Arial" w:cs="Arial" w:eastAsia="Arial" w:hAnsi="Arial"/>
        <w:b/>
        <w:bCs/>
        <w:color w:val="060810"/>
        <w:sz w:val="18"/>
        <w:szCs w:val="18"/>
      </w:rPr>
      <w:t xml:space="preserve">AIMA · AI Media Agency</w:t>
    </w:r>
    <w:r>
      <w:rPr>
        <w:rFonts w:ascii="Arial" w:cs="Arial" w:eastAsia="Arial" w:hAnsi="Arial"/>
        <w:color w:val="888888"/>
        <w:sz w:val="16"/>
        <w:szCs w:val="16"/>
      </w:rPr>
      <w:t xml:space="preserve">	EXECUTIVE PRODUCER PARTNERSHIP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ection %1."/>
      <w:lvlJc w:val="left"/>
      <w:pPr>
        <w:ind w:left="0" w:hanging="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60810"/>
      <w:sz w:val="26"/>
      <w:szCs w:val="26"/>
    </w:rPr>
  </w:style>
  <w:style w:type="paragraph" w:styleId="Heading2">
    <w:name w:val="Heading 2"/>
    <w:basedOn w:val="Normal"/>
    <w:next w:val="Normal"/>
    <w:qFormat/>
    <w:pPr>
      <w:spacing w:after="80" w:before="200"/>
      <w:outlineLvl w:val="1"/>
    </w:pPr>
    <w:rPr>
      <w:rFonts w:ascii="Arial" w:cs="Arial" w:eastAsia="Arial" w:hAnsi="Arial"/>
      <w:b/>
      <w:bCs/>
      <w:color w:val="0608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2026-04-03T18:53:48.943Z</dcterms:created>
  <dcterms:modified xsi:type="dcterms:W3CDTF">2026-04-03T18:53:48.944Z</dcterms:modified>
</cp:coreProperties>
</file>

<file path=docProps/custom.xml><?xml version="1.0" encoding="utf-8"?>
<Properties xmlns="http://schemas.openxmlformats.org/officeDocument/2006/custom-properties" xmlns:vt="http://schemas.openxmlformats.org/officeDocument/2006/docPropsVTypes"/>
</file>