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4"/>
        </w:rPr>
        <w:t>Workforce Executive Briefing</w:t>
      </w:r>
    </w:p>
    <w:p>
      <w:pPr>
        <w:jc w:val="center"/>
      </w:pPr>
      <w:r>
        <w:rPr>
          <w:i/>
          <w:color w:val="555555"/>
          <w:sz w:val="22"/>
        </w:rPr>
        <w:t>Prepared May 29, 2026</w:t>
      </w:r>
    </w:p>
    <w:p/>
    <w:p>
      <w:pPr>
        <w:pStyle w:val="Heading2"/>
      </w:pPr>
      <w:r>
        <w:rPr>
          <w:color w:val="1F3A5F"/>
        </w:rPr>
        <w:t>Key Workforce Metrics</w:t>
      </w:r>
    </w:p>
    <w:tbl>
      <w:tblPr>
        <w:tblStyle w:val="TableGrid"/>
        <w:tblW w:type="auto" w:w="0"/>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Value</w:t>
            </w:r>
          </w:p>
        </w:tc>
      </w:tr>
      <w:tr>
        <w:tc>
          <w:tcPr>
            <w:tcW w:type="dxa" w:w="4320"/>
          </w:tcPr>
          <w:p>
            <w:r>
              <w:t>Total Headcount</w:t>
            </w:r>
          </w:p>
        </w:tc>
        <w:tc>
          <w:tcPr>
            <w:tcW w:type="dxa" w:w="4320"/>
          </w:tcPr>
          <w:p>
            <w:r>
              <w:t>1,470</w:t>
            </w:r>
          </w:p>
        </w:tc>
      </w:tr>
      <w:tr>
        <w:tc>
          <w:tcPr>
            <w:tcW w:type="dxa" w:w="4320"/>
          </w:tcPr>
          <w:p>
            <w:r>
              <w:t>Overall Attrition Rate</w:t>
            </w:r>
          </w:p>
        </w:tc>
        <w:tc>
          <w:tcPr>
            <w:tcW w:type="dxa" w:w="4320"/>
          </w:tcPr>
          <w:p>
            <w:r>
              <w:t>16.1%</w:t>
            </w:r>
          </w:p>
        </w:tc>
      </w:tr>
      <w:tr>
        <w:tc>
          <w:tcPr>
            <w:tcW w:type="dxa" w:w="4320"/>
          </w:tcPr>
          <w:p>
            <w:r>
              <w:t>Average Job Satisfaction</w:t>
            </w:r>
          </w:p>
        </w:tc>
        <w:tc>
          <w:tcPr>
            <w:tcW w:type="dxa" w:w="4320"/>
          </w:tcPr>
          <w:p>
            <w:r>
              <w:t>2.7 / 4</w:t>
            </w:r>
          </w:p>
        </w:tc>
      </w:tr>
      <w:tr>
        <w:tc>
          <w:tcPr>
            <w:tcW w:type="dxa" w:w="4320"/>
          </w:tcPr>
          <w:p>
            <w:r>
              <w:t>Employees on Overtime</w:t>
            </w:r>
          </w:p>
        </w:tc>
        <w:tc>
          <w:tcPr>
            <w:tcW w:type="dxa" w:w="4320"/>
          </w:tcPr>
          <w:p>
            <w:r>
              <w:t>28.3%</w:t>
            </w:r>
          </w:p>
        </w:tc>
      </w:tr>
    </w:tbl>
    <w:p/>
    <w:p>
      <w:pPr>
        <w:pStyle w:val="Heading1"/>
      </w:pPr>
      <w:r>
        <w:rPr>
          <w:color w:val="1F3A5F"/>
        </w:rPr>
        <w:t>Workforce Attrition Trends &amp; Drivers</w:t>
      </w:r>
    </w:p>
    <w:p>
      <w:r>
        <w:t>The data reveals several critical attrition hotspots and underlying patterns requiring immediate strategic attention. The most pronounced risk lies within our early-tenure population, with a staggering 34.9% attrition rate in the first year of employment, indicating potential challenges in onboarding, role integration, or initial job satisfaction. Concurrently, specific roles within the Sales department, particularly Sales Representatives (39.8%) and Sales Executives (17.5%), are experiencing disproportionately high turnover, driving the department's overall 20.6% attrition rate. This trend extends to our Human Resources department, which registers a 19.0% departmental attrition rate and a 23.1% rate for HR-specific roles. A significant contributing factor across segments is the impact of overtime: employees consistently working overtime are nearly three times more likely to depart (30.5% vs. 10.4% for those not working overtime), pointing to workload and potential burnout as major drivers.</w:t>
      </w:r>
    </w:p>
    <w:p>
      <w:r>
        <w:t>These patterns present considerable workforce risks impacting both operational continuity and strategic objectives. The high early-tenure attrition represents a substantial drain on recruitment and training investments, yielding minimal return on talent acquisition efforts and consistently depleting entry-level pipelines. The elevated turnover in Sales roles directly threatens revenue generation, market share, and client relationships, while the attrition within HR jeopardizes our ability to effectively manage talent, maintain employee experience, and support critical business functions. The strong correlation between overtime and attrition underscores a systemic issue of unsustainable workloads, which, if unaddressed, will continue to erode employee engagement, productivity, and overall organizational resilience, leading to increased costs and diminished performance.</w:t>
      </w:r>
    </w:p>
    <w:p>
      <w:pPr>
        <w:pBdr>
          <w:bottom w:val="single" w:sz="6" w:space="1" w:color="1F3A5F"/>
        </w:pBdr>
      </w:pPr>
    </w:p>
    <w:p>
      <w:pPr>
        <w:pStyle w:val="Heading1"/>
      </w:pPr>
      <w:r>
        <w:rPr>
          <w:color w:val="1F3A5F"/>
        </w:rPr>
        <w:t>Compensation &amp; Performance Dynamics</w:t>
      </w:r>
    </w:p>
    <w:p>
      <w:r>
        <w:t>Compensation &amp; Reward Strategy Analysis</w:t>
      </w:r>
    </w:p>
    <w:p>
      <w:r>
        <w:t>An initial review of compensation data reveals notable disparities across departments and job roles, alongside critical insights into the relationship between pay, performance, and overtime utilization. Average monthly income varies significantly by department, with Sales leading at $6959.0, followed by Human Resources at $6655.0, and Research &amp; Development at $6281.0. This $678.0 difference between the highest and lowest paying departments merits attention for resource allocation and market competitiveness. More pronounced are the pay gaps across job roles: while top positions like Manager command an average monthly income of $17182.0 and Research Director $16034.0, roles such as Manufacturing Director average $7295.0, and Sales Executive $6924.0. Conversely, lower-tier roles present significant disparities, with Research Scientist averaging $3240.0, Laboratory Technician $3237.0, and Sales Representative earning an average of $2626.0. The Human Resources job role also presents a notable concern, averaging only $4236.0, which is substantially below the departmental average for HR, suggesting potential internal equity issues or an under-evaluation of certain functional roles within the current structure. These wide variances suggest a need for a comprehensive job evaluation and leveling exercise to ensure internal equity and external competitiveness across the organizational structure.</w:t>
      </w:r>
    </w:p>
    <w:p>
      <w:r>
        <w:t>Furthermore, the data indicates a critical disconnect between performance and compensation outcomes. Employees with a Performance Rating of 3 report an average monthly income of $6537.0, which is counter-intuitively higher than the $6314.0 average for employees with the highest Performance Rating of 4. This finding suggests that our current compensation structure may not effectively differentiate or adequately reward top performers, potentially impacting motivation and retention among our highest-contributing individuals. Concurrently, an analysis of overtime usage reveals that employees working overtime earn an average of $6549.0, marginally more than the $6485.0 earned by those who do not. While this $64.0 difference may appear small, it could signal that overtime is being utilized by employees as a mechanism to supplement base compensation, potentially compensating for perceived pay gaps or insufficient foundational salaries. This pattern warrants deeper investigation into the underlying drivers of overtime usage and its implications for overall reward strategy effectiveness and employee engagement.</w:t>
      </w:r>
    </w:p>
    <w:p>
      <w:pPr>
        <w:pBdr>
          <w:bottom w:val="single" w:sz="6" w:space="1" w:color="1F3A5F"/>
        </w:pBdr>
      </w:pPr>
    </w:p>
    <w:p>
      <w:pPr>
        <w:pStyle w:val="Heading1"/>
      </w:pPr>
      <w:r>
        <w:rPr>
          <w:color w:val="1F3A5F"/>
        </w:rPr>
        <w:t>Employee Well-being &amp; Engagement Landscape</w:t>
      </w:r>
    </w:p>
    <w:p>
      <w:r>
        <w:t>The data reveals a significant and widespread challenge concerning employee satisfaction within the organization. A critical indicator is that 38.7% of employees report low Job Satisfaction (scoring &lt;=2), highlighting a substantial segment of the workforce experiencing foundational discontent. Departmentally, Human Resources demonstrates the lowest Job Satisfaction (2.6) and shares the lowest Environment Satisfaction (2.68) with Sales. Research &amp; Development exhibits the most pronounced struggle with Work-Life Balance (2.73). Notably, average satisfaction scores across all departments for Job, Environment, and Work-Life Balance consistently fall below the optimal threshold of 3, indicating that dissatisfaction is not confined to isolated pockets but is a more pervasive issue.</w:t>
      </w:r>
    </w:p>
    <w:p>
      <w:r>
        <w:t>A clear pattern emerges from these metrics: satisfaction levels are generally suboptimal across the organization, rather than being concentrated in a single department or dimension. This widespread moderate to low satisfaction suggests systemic factors are at play, influencing the overall employee experience. Critically, the data substantiates a direct correlation between low satisfaction and increased attrition. Employees reporting low satisfaction exhibit an attrition rate of 19.7%, a stark contrast to the 13.9% observed among their satisfied counterparts. This 5.8 percentage point differential underscores the tangible impact of dissatisfaction on talent retention.</w:t>
      </w:r>
    </w:p>
    <w:p>
      <w:r>
        <w:t>The confluence of these factors points to a significant organizational engagement risk. With nearly two-fifths of the workforce experiencing low job satisfaction and demonstrating a higher propensity for attrition, the organization faces potential talent drain, diminished productivity, and adverse impacts on institutional knowledge. The consistently sub-optimal scores across all key satisfaction dimensions suggest a broader systemic challenge that, if unaddressed, could compromise workforce stability and impede strategic objectives. A proactive and comprehensive strategy is imperative to mitigate this risk and foster a more engaged and resilient workforce.</w:t>
      </w:r>
    </w:p>
    <w:p>
      <w:pPr>
        <w:pBdr>
          <w:bottom w:val="single" w:sz="6" w:space="1" w:color="1F3A5F"/>
        </w:pBdr>
      </w:pPr>
    </w:p>
    <w:p>
      <w:pPr>
        <w:pStyle w:val="Heading1"/>
      </w:pPr>
      <w:r>
        <w:rPr>
          <w:color w:val="1F3A5F"/>
        </w:rPr>
        <w:t>Talent Tenure &amp; Career Progression</w:t>
      </w:r>
    </w:p>
    <w:p>
      <w:r>
        <w:t>Analysis of departmental performance data reveals largely consistent average performance ratings across the organization, with Research &amp; Development, Sales, and Human Resources all achieving average scores between 3.14 and 3.16 on a 4-point scale. This negligible variation suggests a baseline level of performance consistency, making other metrics more critical in identifying areas of strength and concern regarding overall departmental health and stability.</w:t>
      </w:r>
    </w:p>
    <w:p>
      <w:r>
        <w:t>A more distinct picture emerges when examining attrition and job satisfaction. The Research &amp; Development department demonstrates strong stability, exhibiting the lowest attrition rate at 13.8% and the highest average performance rating (3.16), coupled with a robust job satisfaction score of 2.73. Conversely, the Sales department presents a critical area for review, recording the highest attrition rate at 20.6%. This is a noteworthy dynamic given that Sales also reports the highest average job satisfaction at 2.75. This counter-intuitive correlation between high satisfaction and high attrition in Sales merits further investigation into potential external market pressures, compensation competitiveness, or role-specific demands that may override internal satisfaction drivers for retention. The Human Resources department, with an average performance rating identical to Sales (3.14), faces challenges with the lowest average job satisfaction score (2.6) and the second-highest attrition rate (19.0%), indicating potential internal morale or workload pressures that warrant immediate attention.</w:t>
      </w:r>
    </w:p>
    <w:p>
      <w:r>
        <w:t>Based on this data, while average performance ratings show no significant direct correlation with either attrition or satisfaction across departments, the interplay between job satisfaction and attrition is evident. R&amp;D's combination of higher satisfaction and lowest attrition suggests a healthy environment, whereas HR's lower satisfaction correlating with higher attrition aligns with conventional expectations. The Sales department's high satisfaction alongside its highest attrition rate highlights a complex issue demanding a more granular analysis beyond internal sentiment. This dataset suggests that factors beyond individual performance ratings are the primary drivers of talent retention and departmental stability.</w:t>
      </w:r>
    </w:p>
    <w:p>
      <w:pPr>
        <w:pBdr>
          <w:bottom w:val="single" w:sz="6" w:space="1" w:color="1F3A5F"/>
        </w:pBdr>
      </w:pPr>
    </w:p>
    <w:p>
      <w:pPr>
        <w:pStyle w:val="Heading1"/>
      </w:pPr>
      <w:r>
        <w:rPr>
          <w:color w:val="1F3A5F"/>
        </w:rPr>
        <w:t>Organizational Demographics &amp; Departmental Profiles</w:t>
      </w:r>
    </w:p>
    <w:p>
      <w:r>
        <w:t>Demographic &amp; Organizational Insights</w:t>
      </w:r>
    </w:p>
    <w:p>
      <w:r>
        <w:t>The organization's current workforce comprises 1,470 employees, exhibiting distinct demographic characteristics critical for strategic workforce planning. Age distribution reveals a significant concentration within the 30-40 bracket, representing 679 employees. Combined with the 'Under 30' cohort of 326, nearly 70% of the workforce (1,005 employees) is under 40 years old, while the 'Over 50' segment is considerably smaller at 143 employees. This profile signals a potential mid-career bulge requiring focused attention on career progression pathways, leadership development, and strategic knowledge transfer initiatives to mitigate future experience gaps. The gender split indicates a notable imbalance, with 882 male employees compared to 588 female employees. This approximately 3:2 male-to-female ratio highlights an imperative for robust Diversity, Equity, and Inclusion (DEI) strategies to attract and retain a more balanced talent pool. Furthermore, marital status data shows 673 married employees, 470 single, and 327 divorced, providing context for considerations regarding benefits packages and work-life balance programs tailored to varying employee needs.</w:t>
      </w:r>
    </w:p>
    <w:p>
      <w:r>
        <w:t>From an educational and departmental perspective, the workforce demonstrates a high-skilled foundation with pronounced structural concentrations. The majority hold a Bachelor's degree (572 employees) or a Master's degree (398 employees), suggesting a workforce capable of tackling complex challenges; workforce development initiatives should align with advancing these existing capabilities. Organizationally, there is an extreme concentration of talent within Research &amp; Development, which accounts for 961 employees, or approximately 65% of the total workforce. Sales employs 446 individuals, while Human Resources operates as a significantly leaner function with only 63 employees. This departmental structure implies that workforce planning must heavily prioritize R&amp;D talent pipelines, critical skill development, and retention strategies to sustain innovation. Furthermore, the lean HR function warrants an assessment of its capacity to deliver comprehensive strategic support and scale effectively with future organizational growth initiatives, particularly given the large R&amp;D cohort's needs.</w:t>
      </w:r>
    </w:p>
    <w:p>
      <w:pPr>
        <w:pBdr>
          <w:bottom w:val="single" w:sz="6" w:space="1" w:color="1F3A5F"/>
        </w:pBdr>
      </w:pPr>
    </w:p>
    <w:p>
      <w:pPr>
        <w:pStyle w:val="Heading1"/>
      </w:pPr>
      <w:r>
        <w:rPr>
          <w:color w:val="1F3A5F"/>
        </w:rPr>
        <w:t>Strategic Executive Commentary</w:t>
      </w:r>
    </w:p>
    <w:p>
      <w:r>
        <w:t>CEO,</w:t>
      </w:r>
    </w:p>
    <w:p>
      <w:r>
        <w:t>The most pressing workforce risk demanding your immediate attention is the systemic erosion of our talent base driven by unsustainable workloads and a critical disconnect between contribution and reward. Our data unequivocally shows that employees consistently working overtime are nearly three times more likely to depart, with a 30.5% attrition rate compared to 10.4% for those not utilizing overtime. This isn't just a productivity issue; it's a foundational flaw fueling a staggering 34.9% first-year attrition, bleeding recruitment and training investments and leaving critical positions unfilled. The direct consequence is visible in our Sales department, where 20.6% overall attrition, escalating to 39.8% for Sales Representatives, directly threatens our revenue targets, market share, and client relationships. Compounding this, a 19.0% attrition within our Human Resources function, alongside its lowest job satisfaction score (2.6), compromises our capacity to address these very challenges, creating a critical organizational vulnerability. This widespread talent drain isn't merely an HR problem; it's a direct threat to our operational continuity and top-line growth.</w:t>
      </w:r>
    </w:p>
    <w:p>
      <w:r>
        <w:t>This pattern extends beyond immediate operational impact, fundamentally jeopardizing our broader business performance and competitive standing. The pervasive low job satisfaction reported by 38.7% of our workforce, which directly correlates with a 19.7% attrition rate for dissatisfied employees, signals a culture that is not sustainable. Furthermore, our compensation strategy actively de-motivates high performers; employees with a Performance Rating of 3 currently earn an average of $6537.0, more than the $6314.0 for our top performers rated 4. This internal inequity not only fosters disengagement but ensures we struggle to retain our most valuable contributors against external competitors who are actively seeking top talent. For the Board, this translates into a tangible erosion of shareholder value. We are facing diminished return on investment (ROI) on our human capital, a direct threat to our market leadership in critical areas like Sales, and significant reputational risk as an employer. Failure to address these systemic issues will inevitably translate into increased operational costs, hampered innovation within our 65% R&amp;D-heavy workforce, and a declining ability to execute our strategic growth initiatives.</w:t>
      </w:r>
    </w:p>
    <w:p>
      <w:r>
        <w:t>To mitigate these risks and position ourselves for sustainable growth, two strategic talent decisions are paramount within the next 12-18 months. First, we must immediately re-engineer our Total Rewards and Workforce Planning strategy. This demands a comprehensive job evaluation and leveling exercise to address critical pay disparities – for instance, the average Sales Representative earning only $2626.0 monthly, far below the departmental average, requires urgent attention, as does the HR job role averaging only $4236.0. Concurrently, we must assess and optimize our workload distribution to alleviate the pressure driving high overtime usage and its associated attrition, rather than implicitly allowing overtime to supplement inadequate base compensation. Second, we must launch a robust Employee Experience and Leadership Development program, especially targeting our young workforce where nearly 70% are under 40. This program must focus on strengthening our onboarding processes to drastically reduce the 34.9% early-tenure attrition, enhance work-life balance (critical for R&amp;D's 2.73 score), and cultivate clear career progression pathways. These decisions are not merely HR initiatives; they are strategic investments in our organizational resilience, our capacity for innovation, and our ability to attract, retain, and motivate the talent essential for achieving our long-term business objectives and maintaining our competitive edge.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