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Workforce Executive Briefing</w:t>
      </w:r>
    </w:p>
    <w:p>
      <w:pPr>
        <w:jc w:val="center"/>
      </w:pPr>
      <w:r>
        <w:rPr>
          <w:i/>
          <w:color w:val="555555"/>
          <w:sz w:val="22"/>
        </w:rPr>
        <w:t>Prepared May 21, 2026</w:t>
      </w:r>
    </w:p>
    <w:p/>
    <w:p>
      <w:pPr>
        <w:pStyle w:val="Heading1"/>
      </w:pPr>
      <w:r>
        <w:rPr>
          <w:color w:val="1F3A5F"/>
        </w:rPr>
        <w:t>Overall Attrition Overview</w:t>
      </w:r>
    </w:p>
    <w:p>
      <w:r>
        <w:t>Our recent attrition analysis reveals several high-risk segments warranting immediate attention due to their disproportionately high turnover rates. The most critical indicator is employees consistently working overtime, experiencing an alarming 30.5% attrition rate compared to 10.4% for those without overtime. Furthermore, new hires in their first year demonstrate significant vulnerability, with a 34.9% attrition rate within the 0-1 year tenure bucket. Specific job roles also present elevated risk, particularly Sales Representatives at 39.8%, Laboratory Technicians at 23.9%, and employees within the Human Resources job role at 23.1%, closely aligning with the high departmental attrition in Sales (20.6%) and Human Resources (19.0%).</w:t>
      </w:r>
    </w:p>
    <w:p>
      <w:r>
        <w:t>The recurring patterns observed across these segments point to several underlying stressors and areas of vulnerability. The stark disparity in attrition rates based on overtime status strongly suggests potential issues with workload management, work-life balance, and employee burnout, indicating that sustained periods of increased work demands are a primary contributor to employee dissatisfaction and subsequent departure. Similarly, the high attrition among employees in their first year of tenure suggests potential deficiencies in our onboarding processes, initial role fit, or the early career development experience, leading to a significant loss of newly invested talent before full integration. The consistently high attrition within Sales, particularly among Sales Representatives, indicates intense pressure or dissatisfaction potentially related to targets, compensation structures, or career progression within this critical revenue-generating function.</w:t>
      </w:r>
    </w:p>
    <w:p>
      <w:r>
        <w:t>These patterns collectively pose substantial workforce risks, impacting productivity, institutional knowledge, and overall operational stability. The loss of new talent within the first year represents a significant wasted investment in recruitment, onboarding, and training, leading to constant churn and a diminished talent pipeline. High attrition in critical operational roles like Sales Representatives directly threatens revenue generation and market share, while turnover in Human Resources roles undermines our capacity to effectively manage employee relations, talent development, and further retention efforts. Addressing these identified high-risk segments is crucial to mitigating broader organizational vulnerabilities, stabilizing our workforce, and ensuring business continuity.</w:t>
      </w:r>
    </w:p>
    <w:p>
      <w:pPr>
        <w:pStyle w:val="Heading1"/>
      </w:pPr>
      <w:r>
        <w:rPr>
          <w:color w:val="1F3A5F"/>
        </w:rPr>
        <w:t>Employee Demographics and Distribution</w:t>
      </w:r>
    </w:p>
    <w:p>
      <w:r>
        <w:t>This executive briefing provides a concise overview of key human capital metrics for our current workforce of 1470 employees. A significant area for immediate attention is the 16.1% attrition rate, with 237 employees departing the organization. Despite this, average employee tenure remains robust at 7.0 years, suggesting a core of long-serving talent, and the average monthly income across the organization stands at $6,503.</w:t>
      </w:r>
    </w:p>
    <w:p>
      <w:r>
        <w:t>Delving deeper into employee sentiment and workload, the average Job Satisfaction score is reported at 2.73 on a 4-point scale, indicating moderate satisfaction levels that warrant closer examination. Concurrently, 28.3% of the workforce is regularly working overtime, a factor that could influence both satisfaction and productivity if not managed effectively. Our departmental distribution shows a substantial concentration in Research &amp; Development with 961 employees, followed by Sales with 446 employees, and Human Resources supporting operations with 63 employees.</w:t>
      </w:r>
    </w:p>
    <w:p>
      <w:pPr>
        <w:pStyle w:val="Heading1"/>
      </w:pPr>
      <w:r>
        <w:rPr>
          <w:color w:val="1F3A5F"/>
        </w:rPr>
        <w:t>Performance and Satisfaction Analysis</w:t>
      </w:r>
    </w:p>
    <w:p>
      <w:r>
        <w:t>Our recent satisfaction data indicates a pervasive challenge across the organization, with all departments demonstrating average scores below 3.0 on a 1-4 scale for Job Satisfaction, Environment Satisfaction, and Work-Life Balance. Notably, Human Resources consistently registers the lowest average Job Satisfaction (2.6) and ties with Sales for the lowest Environment Satisfaction (2.68). Research &amp; Development shows the lowest Work-Life Balance (2.73), a critical indicator for this innovation-centric function. These patterns suggest that satisfaction issues are not isolated to specific pockets but rather span across key operational areas.</w:t>
      </w:r>
    </w:p>
    <w:p>
      <w:r>
        <w:t>The consistent below-average scores, particularly within critical functions such as HR, R&amp;D, and Sales, signal a broader organizational engagement risk. While each department presents unique drivers of dissatisfaction—from intrinsic job elements in HR to work-life balance in R&amp;D and environmental factors in Sales—the collective trend points to systemic issues impacting employee experience. This widespread dissatisfaction underpins a significant potential for reduced discretionary effort and productivity across the workforce.</w:t>
      </w:r>
    </w:p>
    <w:p>
      <w:r>
        <w:t>Further data supports this heightened engagement risk, revealing that a substantial 38.7% of all employees currently report low Job Satisfaction (defined as a score of 2 or less). This group poses a significant attrition risk, as evidenced by their 19.7% attrition rate—a notable increase compared to the 13.9% attrition rate observed among employees with satisfactory scores (3 or higher). Such a disparity underscores a direct correlation between low satisfaction and talent loss, indicating that nearly two-fifths of our workforce are at a considerably higher risk of departure. Addressing these underlying satisfaction drivers will be critical to mitigating talent drain and fostering a more engaged, stable workforce.</w:t>
      </w:r>
    </w:p>
    <w:p>
      <w:pPr>
        <w:pStyle w:val="Heading1"/>
      </w:pPr>
      <w:r>
        <w:rPr>
          <w:color w:val="1F3A5F"/>
        </w:rPr>
        <w:t>Compensation and Career Progression</w:t>
      </w:r>
    </w:p>
    <w:p>
      <w:r>
        <w:t>**Executive Summary: Workforce Metrics Overview**</w:t>
      </w:r>
    </w:p>
    <w:p>
      <w:r>
        <w:t>The organization currently comprises a total workforce of 1,470 employees. Over the last reporting period, we observed an attrition rate of 16.1%, with 237 employees departing the company. This rate warrants attention as a key indicator of workforce stability and necessitates a review of our retention strategies and their efficacy.</w:t>
      </w:r>
    </w:p>
    <w:p>
      <w:r>
        <w:t>Further analysis reveals an average job satisfaction score of 2.73 on a 1-4 scale, suggesting an opportunity for targeted engagement initiatives to enhance employee experience. The average monthly income across the workforce stands at $6,503, complementing an average employee tenure of 7.0 years. Notably, 28.3% of our employees are consistently working overtime, a factor that may impact job satisfaction and operational efficiency.</w:t>
      </w:r>
    </w:p>
    <w:p>
      <w:r>
        <w:t>From a departmental perspective, Research &amp; Development represents the largest segment with 961 employees, followed by Sales with 446 employees, and Human Resources with 63 employees. These figures provide a foundational overview of our current workforce landscape, highlighting areas for strategic focus in talent management, retention, and resource allocation.</w:t>
      </w:r>
    </w:p>
    <w:p>
      <w:pPr>
        <w:pStyle w:val="Heading1"/>
      </w:pPr>
      <w:r>
        <w:rPr>
          <w:color w:val="1F3A5F"/>
        </w:rPr>
        <w:t>Key Factors Influencing Attrition</w:t>
      </w:r>
    </w:p>
    <w:p>
      <w:r>
        <w:t>Our attrition analysis identifies several critical risk segments demanding immediate attention. Employees working overtime exhibit a significantly elevated attrition rate of 30.5%, nearly triple that of their non-overtime counterparts (10.4%). This points to potential burnout and unsustainable workloads across the organization. Furthermore, new hires in their first year of tenure face a 34.9% attrition rate, highlighting significant challenges in initial retention and integration. Within specific roles, Sales Representatives present the highest individual risk with an alarming 39.8% attrition rate.</w:t>
      </w:r>
    </w:p>
    <w:p>
      <w:r>
        <w:t>These patterns extend to departmental levels, with the Sales department experiencing a 20.6% attrition rate, largely driven by the high turnover among Sales Representatives and Sales Executives (17.5%). This directly impacts revenue generation, client relationships, and necessitates continuous, costly investment in recruitment and training. The Human Resources department also shows a concerning 19.0% attrition, with Human Resources roles specifically reaching 23.1% attrition. Such turnover in a vital support function risks destabilizing internal operations and negatively affecting broader employee experience initiatives. Additionally, Laboratory Technicians demonstrate an elevated attrition rate of 23.9%, potentially impacting specialized project continuity or research output.</w:t>
      </w:r>
    </w:p>
    <w:p>
      <w:r>
        <w:t>The confluence of these high-risk indicators—predominantly early tenure employees, those subject to overtime, and critical roles within Sales and Human Resources—signals a significant and multifaceted workforce risk. This extends beyond simple headcount loss, representing a continuous drain on institutional knowledge, increased operational instability due to high churn in key functions, and potentially a broader decline in employee engagement and morale. Addressing these specific segments is paramount to mitigating talent pipeline fragility and ensuring the sustained productivity and stability of our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