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Workforce Executive Briefing</w:t>
      </w:r>
    </w:p>
    <w:p>
      <w:pPr>
        <w:jc w:val="center"/>
      </w:pPr>
      <w:r>
        <w:rPr>
          <w:i/>
          <w:color w:val="555555"/>
          <w:sz w:val="22"/>
        </w:rPr>
        <w:t>Prepared May 28, 2026</w:t>
      </w:r>
    </w:p>
    <w:p/>
    <w:p>
      <w:pPr>
        <w:pStyle w:val="Heading1"/>
      </w:pPr>
      <w:r>
        <w:rPr>
          <w:color w:val="1F3A5F"/>
        </w:rPr>
        <w:t>Strategic Attrition Insights</w:t>
      </w:r>
    </w:p>
    <w:p>
      <w:r>
        <w:t>Attrition analysis reveals several critical segments exhibiting elevated departure rates, signaling significant workforce risk. The most pronounced segment for attrition is employees within their first year of tenure, exhibiting a 34.9% departure rate. This is substantially higher than other tenure buckets, with rates dropping to 18.4% for 2-3 years and consistently declining thereafter. Concurrently, employees regularly working overtime present a notably elevated attrition risk at 30.5%, nearly triple the rate of those not working overtime (10.4%). Furthermore, specific job roles and departments are experiencing acute challenges: Sales Representatives show an alarmingly high 39.8% attrition, followed by Laboratory Technicians at 23.9%, and individuals within Human Resources at 23.1%. The Sales department overall reports the highest departmental attrition at 20.6%, closely followed by Human Resources at 19.0%.</w:t>
      </w:r>
    </w:p>
    <w:p>
      <w:r>
        <w:t>These patterns collectively signal critical underlying issues impacting our talent stability. The high early-tenure attrition suggests potential deficiencies in our onboarding processes, initial role alignment, or the speed at which new hires become integrated and productive. Such early departures represent a significant financial drain from wasted recruitment and training investments. The strong correlation between overtime and attrition points directly to unsustainable workloads, potential burnout, and a compromised work-life balance for a substantial portion of our workforce. This trend is particularly concerning given its widespread impact on morale and the long-term health of our employee base.</w:t>
      </w:r>
    </w:p>
    <w:p>
      <w:r>
        <w:t>The convergence of these high-risk indicators translates into substantial workforce risk, impacting operational stability and strategic objectives. The continuous churn in early-career employees and within critical revenue-generating and support functions like Sales and HR necessitates a constant cycle of backfilling, diverting valuable resources and impeding productivity. Moreover, the high attrition among overtime workers suggests an underlying issue of resource allocation or capacity, risking burnout among remaining staff, decreasing institutional knowledge retention, and potentially impacting overall service quality and product development timelines. Unaddressed, these trends will escalate recruitment costs, strain remaining teams, and compromise the organization’s ability to achieve its growth and innovation targets, demanding immediate, targeted interventions.</w:t>
      </w:r>
    </w:p>
    <w:p>
      <w:pPr>
        <w:pStyle w:val="Heading1"/>
      </w:pPr>
      <w:r>
        <w:rPr>
          <w:color w:val="1F3A5F"/>
        </w:rPr>
        <w:t>Compensation &amp; Performance Effectiveness</w:t>
      </w:r>
    </w:p>
    <w:p>
      <w:r>
        <w:t>### Compensation &amp; Reward Strategy</w:t>
      </w:r>
    </w:p>
    <w:p>
      <w:r>
        <w:t>Analysis of current compensation data reveals notable disparities across departments and job roles, alongside critical inconsistencies in our performance reward mechanisms and potential over-reliance on overtime as an income supplement. Average monthly income varies significantly by department, with Sales leading at \$6,959.0, followed by Human Resources at \$6,655.0, and Research &amp; Development at \$6,281.0, indicating a nearly 10% delta between the highest and lowest paid departments. More pronounced are the pay gaps across job roles: while top-tier managerial and directorial positions such as Managers (\$17,182.0) and Research Directors (\$16,034.0) command high remuneration, critical operational roles like Sales Representatives (\$2,626.0), Laboratory Technicians (\$3,237.0), and Research Scientists (\$3,240.0) fall into the lowest income brackets. This wide disparity, exceeding 500% between the highest and lowest average monthly incomes, poses significant risks to internal equity, employee engagement, and our ability to attract and retain talent in key functions.</w:t>
      </w:r>
    </w:p>
    <w:p>
      <w:r>
        <w:t>Furthermore, a concerning inverse relationship exists between compensation and performance. Employees with a Performance Rating of 4 currently earn an average monthly income of \$6,314.0, which is paradoxically lower than the \$6,537.0 average for those with a Performance Rating of 3. This misalignment severely undermines the principles of a meritocratic reward system and could disincentivize high performance. In addition, the data signals that overtime may be serving as an unintended mechanism to bridge perceived pay gaps, with employees working overtime earning a slightly higher average monthly income of \$6,549.0 compared to \$6,485.0 for those who do not. While the difference is modest, it suggests that overtime contributions are actively utilized to boost overall compensation, potentially masking underlying issues with base pay adequacy or the efficacy of our performance-linked reward structures. These findings necessitate an immediate review of our compensation philosophy and its execution to ensure fairness, strategic alignment, and sustained workforce motivation.</w:t>
      </w:r>
    </w:p>
    <w:p>
      <w:pPr>
        <w:pStyle w:val="Heading1"/>
      </w:pPr>
      <w:r>
        <w:rPr>
          <w:color w:val="1F3A5F"/>
        </w:rPr>
        <w:t>Employee Experience &amp; Engagement Drivers</w:t>
      </w:r>
    </w:p>
    <w:p>
      <w:r>
        <w:t>### Satisfaction &amp; Engagement</w:t>
      </w:r>
    </w:p>
    <w:p>
      <w:r>
        <w:t>Analysis of the current data reveals critical areas of concern regarding employee satisfaction and engagement. Human Resources emerges as a department experiencing the lowest average Job Satisfaction at 2.6, and ties with Sales for the lowest Environment Satisfaction at 2.68. Concurrently, Research &amp; Development reports the lowest average Work-Life Balance at 2.73. These departmental-level patterns suggest localized stressors impacting distinct facets of the employee experience across key operational areas, indicating that satisfaction challenges are not uniform but rather concentrated in specific functions.</w:t>
      </w:r>
    </w:p>
    <w:p>
      <w:r>
        <w:t>A broader organizational perspective highlights a significant engagement risk, with 38.7% of all employees reporting low Job Satisfaction (a score of 2 or less). This substantial segment of the workforce presents a material vulnerability, as evidenced by the direct correlation with attrition. Employees experiencing low satisfaction exhibit a notably higher attrition rate of 19.7%, compared to 13.9% for their satisfied counterparts. This nearly 6-percentage point differential translates into tangible commercial consequences, including increased talent acquisition costs, potential loss of institutional knowledge, and operational disruptions, underscoring the urgent need for targeted interventions to mitigate this pervasive risk.</w:t>
      </w:r>
    </w:p>
    <w:p>
      <w:pPr>
        <w:pStyle w:val="Heading1"/>
      </w:pPr>
      <w:r>
        <w:rPr>
          <w:color w:val="1F3A5F"/>
        </w:rPr>
        <w:t>Talent Development &amp; Career Trajectories</w:t>
      </w:r>
    </w:p>
    <w:p>
      <w:r>
        <w:t>This brief provides a strategic overview of our 1470-employee workforce, highlighting key trends impacting organizational stability and performance. A primary concern is the significant attrition rate, with 237 employees, or 16.1% of our total headcount, departing. This substantial churn coincides with an average Job Satisfaction score of 2.73 on a 1-4 scale, suggesting underlying issues that warrant immediate attention. Further, 28.3% of our workforce consistently reports working overtime, a factor that often correlates with burnout and reduced engagement, potentially contributing to the current attrition figures.</w:t>
      </w:r>
    </w:p>
    <w:p>
      <w:r>
        <w:t>Our workforce maintains an average tenure of 7.0 years, indicating a core of long-serving employees. However, this stability needs to be reconciled with the elevated attrition. The average monthly income stands at $6,503. Departmentally, the majority of our employees are concentrated in Research &amp; Development (961 employees) and Sales (446 employees), with Human Resources comprising 63 employees. Given these distributions, a focused analysis of attrition drivers and satisfaction levels within these strategic functions is critical to mitigate further loss and uphold operational effectiveness and commercial objectives.</w:t>
      </w:r>
    </w:p>
    <w:p>
      <w:pPr>
        <w:pStyle w:val="Heading1"/>
      </w:pPr>
      <w:r>
        <w:rPr>
          <w:color w:val="1F3A5F"/>
        </w:rPr>
        <w:t>Workforce Segmentation &amp; Diversity</w:t>
      </w:r>
    </w:p>
    <w:p>
      <w:r>
        <w:t>This executive summary outlines key insights into our current workforce standing, based on data from our 1470 total employees. A significant challenge identified is the annualized attrition rate of 16.1%, representing 237 employees departing the organization. This trend is corroborated by an average Job Satisfaction score of 2.73 on a 4-point scale, indicating moderate employee contentment that warrants immediate strategic attention as a potential driver of talent outflow.</w:t>
      </w:r>
    </w:p>
    <w:p>
      <w:r>
        <w:t>Further analysis reveals that 28.3% of the workforce is consistently working overtime, a factor often associated with elevated stress and reduced engagement levels. While the average monthly income stands at $6,503, and average employee tenure is a robust 7.0 years, these figures suggest a need to differentiate retention strategies, particularly given the active exit rate. The workforce is predominantly distributed across key functions, with Research &amp; Development comprising 961 employees, Sales 446 employees, and Human Resources 63 employees, indicating where the majority of talent and potential impact lies.</w:t>
      </w:r>
    </w:p>
    <w:p>
      <w:r>
        <w:t>These aggregated metrics underscore a critical need for strategic workforce interventions aimed at enhancing retention and optimizing the overall employee experience. The current attrition rate of 16.1%, coupled with moderate job satisfaction and significant overtime prevalence, poses a tangible risk to operational continuity, knowledge transfer, and the health of our talent pipeline. Proactive and targeted measures are essential to mitigate these trends and safeguard sustainable organizational performance, particularly within our largest and most critical departments.</w:t>
      </w:r>
    </w:p>
    <w:p>
      <w:pPr>
        <w:pStyle w:val="Heading1"/>
      </w:pPr>
      <w:r>
        <w:rPr>
          <w:color w:val="1F3A5F"/>
        </w:rPr>
        <w:t>Strategic Executive Commentary</w:t>
      </w:r>
    </w:p>
    <w:p>
      <w:r>
        <w:t>This workforce briefing reveals a critical threat to our operational stability and future competitiveness that demands immediate CEO-level attention. The single most critical risk is the systemic failure to adequately value and retain our early-career and front-line talent, particularly within revenue-generating and foundational operational roles. With 34.9% of employees departing in their first year and an alarming 39.8% attrition among Sales Representatives, our talent pipeline is hemorrhaging at its entry points and in critical customer-facing functions. This is compounded by the fact that employees regularly working overtime, representing 28.3% of our workforce, exhibit a 30.5% attrition rate—nearly triple that of their peers. This confluence signals a fundamental disconnect in our employee value proposition, leading to unsustainable churn that directly impacts our ability to execute on current business objectives and capture future market share.</w:t>
      </w:r>
    </w:p>
    <w:p>
      <w:r>
        <w:t>This isn't merely an HR problem; it's a direct impediment to broader business performance and our competitive position. The overall 16.1% attrition rate translates into significant financial leakage from constant recruitment, onboarding, and lost productivity, directly eroding our profit margins. Our inability to retain new talent and core operational roles like Sales Representatives and Laboratory Technicians (23.9% attrition) means we are constantly rebuilding, diverting valuable resources from innovation and growth initiatives. Furthermore, the inverse relationship between compensation and performance—where employees with a Performance Rating of 4 earn less than those with a 3—actively disincentivizes our highest contributors, weakening our meritocratic culture and making us vulnerable to losing top talent to competitors who offer clearer pathways to reward. With 38.7% of our employees reporting low job satisfaction, our brand as an employer is at risk, impacting our ability to attract new talent in an increasingly competitive labor market.</w:t>
      </w:r>
    </w:p>
    <w:p>
      <w:r>
        <w:t>For the Board of Directors, the message is clear: our current talent strategy poses a material risk to enterprise value and long-term shareholder return. The high attrition in critical functions, fueled by unsustainable workloads and misaligned compensation, directly compromises our capacity to meet sales targets, deliver new products, and maintain operational excellence. This threatens our growth trajectory and our ability to capitalize on market opportunities. To mitigate these risks and safeguard our future, we must make two strategic talent decisions in the next 12-18 months. First, we must launch a comprehensive overhaul of our total rewards strategy, specifically addressing the egregious pay disparities (exceeding 500% between lowest and highest paid roles) and the inverse performance-pay correlation. This means ensuring competitive base salaries for critical operational roles like Sales Representatives and Laboratory Technicians, coupled with a performance management system that genuinely recognizes and rewards high achievement. Second, we must implement a targeted retention strategy focused on early-career talent and workload management, particularly for the 28.3% of employees working significant overtime, to stem the 34.9% first-year attrition and prevent burnout, ensuring we build a stable, engaged, and productive workforce for the long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