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709FF" w14:textId="5193CBEC" w:rsidR="00490DAB" w:rsidRDefault="00490DAB" w:rsidP="007F5F70">
      <w:hyperlink r:id="rId5" w:history="1">
        <w:r w:rsidRPr="00490DAB">
          <w:rPr>
            <w:rStyle w:val="Hipervnculo"/>
          </w:rPr>
          <w:t>Cómo calculamos el precio</w:t>
        </w:r>
      </w:hyperlink>
    </w:p>
    <w:p w14:paraId="16E6E2E4" w14:textId="26E2522B" w:rsidR="007F5F70" w:rsidRPr="007F5F70" w:rsidRDefault="007F5F70" w:rsidP="007F5F70">
      <w:r w:rsidRPr="007F5F70">
        <w:t xml:space="preserve">Siendo </w:t>
      </w:r>
      <w:r w:rsidRPr="007F5F70">
        <w:rPr>
          <w:rFonts w:ascii="Cambria Math" w:hAnsi="Cambria Math" w:cs="Cambria Math"/>
        </w:rPr>
        <w:t>𝑃𝐻</w:t>
      </w:r>
      <w:r w:rsidRPr="007F5F70">
        <w:t xml:space="preserve"> el precio horario de la energía calculado siguiendo la siguiente fórmula:</w:t>
      </w:r>
    </w:p>
    <w:p w14:paraId="329B074A" w14:textId="77777777" w:rsidR="007F5F70" w:rsidRPr="007F5F70" w:rsidRDefault="007F5F70" w:rsidP="007F5F70">
      <w:r w:rsidRPr="007F5F70">
        <w:rPr>
          <w:rFonts w:ascii="Cambria Math" w:hAnsi="Cambria Math" w:cs="Cambria Math"/>
          <w:b/>
          <w:bCs/>
        </w:rPr>
        <w:t>𝑃𝐻</w:t>
      </w:r>
      <w:r w:rsidRPr="007F5F70">
        <w:rPr>
          <w:b/>
          <w:bCs/>
        </w:rPr>
        <w:t>=1,015</w:t>
      </w:r>
      <w:r w:rsidRPr="007F5F70">
        <w:rPr>
          <w:rFonts w:ascii="Cambria Math" w:hAnsi="Cambria Math" w:cs="Cambria Math"/>
          <w:b/>
          <w:bCs/>
        </w:rPr>
        <w:t>∗</w:t>
      </w:r>
      <w:r w:rsidRPr="007F5F70">
        <w:rPr>
          <w:b/>
          <w:bCs/>
        </w:rPr>
        <w:t>[(</w:t>
      </w:r>
      <w:r w:rsidRPr="007F5F70">
        <w:rPr>
          <w:rFonts w:ascii="Cambria Math" w:hAnsi="Cambria Math" w:cs="Cambria Math"/>
          <w:b/>
          <w:bCs/>
        </w:rPr>
        <w:t>𝑃𝐻𝑀</w:t>
      </w:r>
      <w:r w:rsidRPr="007F5F70">
        <w:rPr>
          <w:b/>
          <w:bCs/>
        </w:rPr>
        <w:t>+</w:t>
      </w:r>
      <w:r w:rsidRPr="007F5F70">
        <w:rPr>
          <w:rFonts w:ascii="Cambria Math" w:hAnsi="Cambria Math" w:cs="Cambria Math"/>
          <w:b/>
          <w:bCs/>
        </w:rPr>
        <w:t>𝑃𝑐</w:t>
      </w:r>
      <w:r w:rsidRPr="007F5F70">
        <w:rPr>
          <w:b/>
          <w:bCs/>
        </w:rPr>
        <w:t>+</w:t>
      </w:r>
      <w:r w:rsidRPr="007F5F70">
        <w:rPr>
          <w:rFonts w:ascii="Cambria Math" w:hAnsi="Cambria Math" w:cs="Cambria Math"/>
          <w:b/>
          <w:bCs/>
        </w:rPr>
        <w:t>𝑆𝑐</w:t>
      </w:r>
      <w:r w:rsidRPr="007F5F70">
        <w:rPr>
          <w:b/>
          <w:bCs/>
        </w:rPr>
        <w:t>+</w:t>
      </w:r>
      <w:r w:rsidRPr="007F5F70">
        <w:rPr>
          <w:rFonts w:ascii="Cambria Math" w:hAnsi="Cambria Math" w:cs="Cambria Math"/>
          <w:b/>
          <w:bCs/>
        </w:rPr>
        <w:t>𝐷𝑠𝑣</w:t>
      </w:r>
      <w:r w:rsidRPr="007F5F70">
        <w:rPr>
          <w:b/>
          <w:bCs/>
        </w:rPr>
        <w:t>+</w:t>
      </w:r>
      <w:r w:rsidRPr="007F5F70">
        <w:rPr>
          <w:rFonts w:ascii="Cambria Math" w:hAnsi="Cambria Math" w:cs="Cambria Math"/>
          <w:b/>
          <w:bCs/>
        </w:rPr>
        <w:t>𝐺𝑑𝑂</w:t>
      </w:r>
      <w:r w:rsidRPr="007F5F70">
        <w:rPr>
          <w:b/>
          <w:bCs/>
        </w:rPr>
        <w:t>+</w:t>
      </w:r>
      <w:r w:rsidRPr="007F5F70">
        <w:rPr>
          <w:rFonts w:ascii="Cambria Math" w:hAnsi="Cambria Math" w:cs="Cambria Math"/>
          <w:b/>
          <w:bCs/>
        </w:rPr>
        <w:t>𝑃𝑂𝑠𝑂𝑚</w:t>
      </w:r>
      <w:r w:rsidRPr="007F5F70">
        <w:rPr>
          <w:b/>
          <w:bCs/>
        </w:rPr>
        <w:t>)</w:t>
      </w:r>
      <w:r w:rsidRPr="007F5F70">
        <w:rPr>
          <w:rFonts w:ascii="Cambria Math" w:hAnsi="Cambria Math" w:cs="Cambria Math"/>
          <w:b/>
          <w:bCs/>
        </w:rPr>
        <w:t>∗</w:t>
      </w:r>
      <w:r w:rsidRPr="007F5F70">
        <w:rPr>
          <w:b/>
          <w:bCs/>
        </w:rPr>
        <w:t>(1+</w:t>
      </w:r>
      <w:r w:rsidRPr="007F5F70">
        <w:rPr>
          <w:rFonts w:ascii="Cambria Math" w:hAnsi="Cambria Math" w:cs="Cambria Math"/>
          <w:b/>
          <w:bCs/>
        </w:rPr>
        <w:t>𝑃𝑒𝑟𝑑</w:t>
      </w:r>
      <w:r w:rsidRPr="007F5F70">
        <w:rPr>
          <w:b/>
          <w:bCs/>
        </w:rPr>
        <w:t>)+</w:t>
      </w:r>
      <w:r w:rsidRPr="007F5F70">
        <w:rPr>
          <w:rFonts w:ascii="Cambria Math" w:hAnsi="Cambria Math" w:cs="Cambria Math"/>
          <w:b/>
          <w:bCs/>
        </w:rPr>
        <w:t>𝐹𝐸</w:t>
      </w:r>
      <w:r w:rsidRPr="007F5F70">
        <w:rPr>
          <w:b/>
          <w:bCs/>
        </w:rPr>
        <w:t>+</w:t>
      </w:r>
      <w:r w:rsidRPr="007F5F70">
        <w:rPr>
          <w:rFonts w:ascii="Cambria Math" w:hAnsi="Cambria Math" w:cs="Cambria Math"/>
          <w:b/>
          <w:bCs/>
        </w:rPr>
        <w:t>𝐹</w:t>
      </w:r>
      <w:r w:rsidRPr="007F5F70">
        <w:rPr>
          <w:b/>
          <w:bCs/>
        </w:rPr>
        <w:t>]+</w:t>
      </w:r>
      <w:r w:rsidRPr="007F5F70">
        <w:rPr>
          <w:rFonts w:ascii="Cambria Math" w:hAnsi="Cambria Math" w:cs="Cambria Math"/>
          <w:b/>
          <w:bCs/>
        </w:rPr>
        <w:t>𝑃𝑇𝐷</w:t>
      </w:r>
      <w:r w:rsidRPr="007F5F70">
        <w:rPr>
          <w:b/>
          <w:bCs/>
        </w:rPr>
        <w:t>+</w:t>
      </w:r>
      <w:r w:rsidRPr="007F5F70">
        <w:rPr>
          <w:rFonts w:ascii="Cambria Math" w:hAnsi="Cambria Math" w:cs="Cambria Math"/>
          <w:b/>
          <w:bCs/>
        </w:rPr>
        <w:t>𝐶𝐴</w:t>
      </w:r>
    </w:p>
    <w:p w14:paraId="00738026" w14:textId="77777777" w:rsidR="007F5F70" w:rsidRPr="007F5F70" w:rsidRDefault="007F5F70" w:rsidP="007F5F70">
      <w:pPr>
        <w:numPr>
          <w:ilvl w:val="0"/>
          <w:numId w:val="1"/>
        </w:numPr>
      </w:pPr>
      <w:r w:rsidRPr="007F5F70">
        <w:rPr>
          <w:b/>
          <w:bCs/>
        </w:rPr>
        <w:t>PH</w:t>
      </w:r>
      <w:r w:rsidRPr="007F5F70">
        <w:t> = Precio horario de la energía.</w:t>
      </w:r>
    </w:p>
    <w:p w14:paraId="6A07D23F" w14:textId="77777777" w:rsidR="007F5F70" w:rsidRPr="007F5F70" w:rsidRDefault="007F5F70" w:rsidP="007F5F70">
      <w:pPr>
        <w:numPr>
          <w:ilvl w:val="0"/>
          <w:numId w:val="1"/>
        </w:numPr>
      </w:pPr>
      <w:r w:rsidRPr="007F5F70">
        <w:rPr>
          <w:b/>
          <w:bCs/>
        </w:rPr>
        <w:t>PHM</w:t>
      </w:r>
      <w:r w:rsidRPr="007F5F70">
        <w:t> = Precio horario del mercado diario. Para los contratos de la península es el precio publicado por el Operador del Mercado Ibérico de la Energía (a partir de ahora, OMIE), mientras que para las islas Baleares y Canarias es el precio de la demanda del Sistema Eléctrico Insular.</w:t>
      </w:r>
    </w:p>
    <w:p w14:paraId="4919ADAE" w14:textId="77777777" w:rsidR="007F5F70" w:rsidRPr="007F5F70" w:rsidRDefault="007F5F70" w:rsidP="007F5F70">
      <w:pPr>
        <w:numPr>
          <w:ilvl w:val="0"/>
          <w:numId w:val="1"/>
        </w:numPr>
      </w:pPr>
      <w:r w:rsidRPr="007F5F70">
        <w:rPr>
          <w:b/>
          <w:bCs/>
        </w:rPr>
        <w:t>Pc</w:t>
      </w:r>
      <w:r w:rsidRPr="007F5F70">
        <w:t> = Pagos por capacidad publicados por el Ministerio anualmente, en función del peaje de acceso contratado por la contratante y aplicado a la energía consumida por la contratante</w:t>
      </w:r>
    </w:p>
    <w:p w14:paraId="7928B5A3" w14:textId="77777777" w:rsidR="007F5F70" w:rsidRPr="007F5F70" w:rsidRDefault="007F5F70" w:rsidP="007F5F70">
      <w:pPr>
        <w:numPr>
          <w:ilvl w:val="0"/>
          <w:numId w:val="1"/>
        </w:numPr>
      </w:pPr>
      <w:r w:rsidRPr="007F5F70">
        <w:rPr>
          <w:b/>
          <w:bCs/>
        </w:rPr>
        <w:t>Sc</w:t>
      </w:r>
      <w:r w:rsidRPr="007F5F70">
        <w:t> = Sobrecostes diarios publicados por Red Eléctrica Española (a partir de ahora, REE) para la gestión de la red, según el valor publicado en el momento de generar la factura.</w:t>
      </w:r>
    </w:p>
    <w:p w14:paraId="29CD2EB8" w14:textId="77777777" w:rsidR="007F5F70" w:rsidRPr="007F5F70" w:rsidRDefault="007F5F70" w:rsidP="007F5F70">
      <w:pPr>
        <w:numPr>
          <w:ilvl w:val="0"/>
          <w:numId w:val="1"/>
        </w:numPr>
      </w:pPr>
      <w:r w:rsidRPr="007F5F70">
        <w:rPr>
          <w:b/>
          <w:bCs/>
        </w:rPr>
        <w:t>Dsv</w:t>
      </w:r>
      <w:r w:rsidRPr="007F5F70">
        <w:t> = Coste de la penalización por desvíos entre energía programada y energía finalmente utilizada. El coste del Dsv se obtiene de la suma de los valores publicados por REE para BS3, RAD3 y la media de los costes del desvío a subir y bajar multiplicado por un factor de desvío propio de SOM ENERGIA, SCCL, que se actualiza trimestralmente y es del 14% (factor desvío). En caso de Baleares y Canarias, el Dsv se obtiene directamente del precio publicado por REE multiplicado por el factor desvío.</w:t>
      </w:r>
      <w:r w:rsidRPr="007F5F70">
        <w:br/>
      </w:r>
      <w:r w:rsidRPr="007F5F70">
        <w:rPr>
          <w:rFonts w:ascii="Cambria Math" w:hAnsi="Cambria Math" w:cs="Cambria Math"/>
        </w:rPr>
        <w:t>𝐷𝑠𝑣</w:t>
      </w:r>
      <w:r w:rsidRPr="007F5F70">
        <w:t>=[1/2</w:t>
      </w:r>
      <w:r w:rsidRPr="007F5F70">
        <w:rPr>
          <w:rFonts w:ascii="Cambria Math" w:hAnsi="Cambria Math" w:cs="Cambria Math"/>
        </w:rPr>
        <w:t>∗</w:t>
      </w:r>
      <w:r w:rsidRPr="007F5F70">
        <w:t>(</w:t>
      </w:r>
      <w:r w:rsidRPr="007F5F70">
        <w:rPr>
          <w:rFonts w:ascii="Cambria Math" w:hAnsi="Cambria Math" w:cs="Cambria Math"/>
        </w:rPr>
        <w:t>𝐶𝑜𝐷𝑠𝑣𝑆𝑢</w:t>
      </w:r>
      <w:r w:rsidRPr="007F5F70">
        <w:t>+</w:t>
      </w:r>
      <w:r w:rsidRPr="007F5F70">
        <w:rPr>
          <w:rFonts w:ascii="Cambria Math" w:hAnsi="Cambria Math" w:cs="Cambria Math"/>
        </w:rPr>
        <w:t>𝐶𝑜𝐷𝑠𝑣𝐵𝑎</w:t>
      </w:r>
      <w:r w:rsidRPr="007F5F70">
        <w:t>)+</w:t>
      </w:r>
      <w:r w:rsidRPr="007F5F70">
        <w:rPr>
          <w:rFonts w:ascii="Cambria Math" w:hAnsi="Cambria Math" w:cs="Cambria Math"/>
        </w:rPr>
        <w:t>𝐵𝑆</w:t>
      </w:r>
      <w:r w:rsidRPr="007F5F70">
        <w:t>3+</w:t>
      </w:r>
      <w:r w:rsidRPr="007F5F70">
        <w:rPr>
          <w:rFonts w:ascii="Cambria Math" w:hAnsi="Cambria Math" w:cs="Cambria Math"/>
        </w:rPr>
        <w:t>𝑅𝐴𝐷</w:t>
      </w:r>
      <w:r w:rsidRPr="007F5F70">
        <w:t>3]</w:t>
      </w:r>
      <w:r w:rsidRPr="007F5F70">
        <w:rPr>
          <w:rFonts w:ascii="Cambria Math" w:hAnsi="Cambria Math" w:cs="Cambria Math"/>
        </w:rPr>
        <w:t>∗𝑓𝑎𝑐𝑡𝑜𝑟𝑑𝑒𝑠𝑣</w:t>
      </w:r>
      <w:r w:rsidRPr="007F5F70">
        <w:t>í</w:t>
      </w:r>
      <w:r w:rsidRPr="007F5F70">
        <w:rPr>
          <w:rFonts w:ascii="Cambria Math" w:hAnsi="Cambria Math" w:cs="Cambria Math"/>
        </w:rPr>
        <w:t>𝑜𝐷𝑠𝑣</w:t>
      </w:r>
      <w:r w:rsidRPr="007F5F70">
        <w:t>=</w:t>
      </w:r>
      <w:r w:rsidRPr="007F5F70">
        <w:rPr>
          <w:rFonts w:ascii="Cambria Math" w:hAnsi="Cambria Math" w:cs="Cambria Math"/>
        </w:rPr>
        <w:t>𝑠𝑐𝑑𝑠𝑣𝑑𝑒𝑚∗𝑓𝑎𝑐𝑡𝑜𝑟𝑑𝑒𝑠𝑣</w:t>
      </w:r>
      <w:r w:rsidRPr="007F5F70">
        <w:t>í</w:t>
      </w:r>
      <w:r w:rsidRPr="007F5F70">
        <w:rPr>
          <w:rFonts w:ascii="Cambria Math" w:hAnsi="Cambria Math" w:cs="Cambria Math"/>
        </w:rPr>
        <w:t>𝑜</w:t>
      </w:r>
    </w:p>
    <w:p w14:paraId="3F86101A" w14:textId="77777777" w:rsidR="007F5F70" w:rsidRPr="007F5F70" w:rsidRDefault="007F5F70" w:rsidP="007F5F70">
      <w:pPr>
        <w:numPr>
          <w:ilvl w:val="0"/>
          <w:numId w:val="1"/>
        </w:numPr>
      </w:pPr>
      <w:r w:rsidRPr="007F5F70">
        <w:rPr>
          <w:b/>
          <w:bCs/>
        </w:rPr>
        <w:t>GdO </w:t>
      </w:r>
      <w:r w:rsidRPr="007F5F70">
        <w:t>= Coste de adquisición de los certificados de Garantía de Origen Renovable de la electricidad. Este coste depende de la energía producida por las plantas de SOM ENERGIA, SCCL, y del coste de adquisición de los certificados de Garantía de Origen Renovable. Al no tratarse de un coste regulado, depende de las condiciones acordadas con los proveedores de certificados. Este coste se actualiza trimestralmente y es de 0,000827 euros/kWh (con el impuesto eléctrico del 5,11% y el IVA al 21%, ambos incluidos).</w:t>
      </w:r>
    </w:p>
    <w:p w14:paraId="15248552" w14:textId="77777777" w:rsidR="007F5F70" w:rsidRPr="007F5F70" w:rsidRDefault="007F5F70" w:rsidP="007F5F70">
      <w:pPr>
        <w:numPr>
          <w:ilvl w:val="0"/>
          <w:numId w:val="1"/>
        </w:numPr>
      </w:pPr>
      <w:r w:rsidRPr="007F5F70">
        <w:rPr>
          <w:b/>
          <w:bCs/>
        </w:rPr>
        <w:t>POsOm </w:t>
      </w:r>
      <w:r w:rsidRPr="007F5F70">
        <w:t>= Coste del operador del sistema (REE) y de OMIE, establecido por la Comisión Nacional de los Mercados y la Competencia (a partir de ahora, CNMC). El coste de OMIE no se aplica a los contratos del sistema eléctrico insular (Canarias, Baleares).</w:t>
      </w:r>
    </w:p>
    <w:p w14:paraId="351B6665" w14:textId="77777777" w:rsidR="007F5F70" w:rsidRPr="007F5F70" w:rsidRDefault="007F5F70" w:rsidP="007F5F70">
      <w:pPr>
        <w:numPr>
          <w:ilvl w:val="0"/>
          <w:numId w:val="1"/>
        </w:numPr>
      </w:pPr>
      <w:r w:rsidRPr="007F5F70">
        <w:rPr>
          <w:b/>
          <w:bCs/>
        </w:rPr>
        <w:t>Perd </w:t>
      </w:r>
      <w:r w:rsidRPr="007F5F70">
        <w:t>= Coeficientes de pérdidas reguladas de sistema desde el punto de generación al punto de consumo, según el valor publicado por REE en el momento de generar la factura.</w:t>
      </w:r>
    </w:p>
    <w:p w14:paraId="7733EEBB" w14:textId="77777777" w:rsidR="007F5F70" w:rsidRPr="007F5F70" w:rsidRDefault="007F5F70" w:rsidP="007F5F70">
      <w:pPr>
        <w:numPr>
          <w:ilvl w:val="0"/>
          <w:numId w:val="1"/>
        </w:numPr>
      </w:pPr>
      <w:r w:rsidRPr="007F5F70">
        <w:rPr>
          <w:b/>
          <w:bCs/>
        </w:rPr>
        <w:t>FE</w:t>
      </w:r>
      <w:r w:rsidRPr="007F5F70">
        <w:t> = Obligación de aportación al Fondo de Eficiencia Energética (FNEE) publicada por el Ministerio.</w:t>
      </w:r>
    </w:p>
    <w:p w14:paraId="1E5A650F" w14:textId="77777777" w:rsidR="007F5F70" w:rsidRPr="007F5F70" w:rsidRDefault="007F5F70" w:rsidP="007F5F70">
      <w:pPr>
        <w:numPr>
          <w:ilvl w:val="0"/>
          <w:numId w:val="1"/>
        </w:numPr>
      </w:pPr>
      <w:r w:rsidRPr="007F5F70">
        <w:rPr>
          <w:b/>
          <w:bCs/>
        </w:rPr>
        <w:t>F</w:t>
      </w:r>
      <w:r w:rsidRPr="007F5F70">
        <w:t> = Franja de la cooperativa (incluye el margen para la viabilidad de la cooperativa).</w:t>
      </w:r>
    </w:p>
    <w:p w14:paraId="0CE3C44C" w14:textId="77777777" w:rsidR="007F5F70" w:rsidRPr="007F5F70" w:rsidRDefault="007F5F70" w:rsidP="007F5F70">
      <w:pPr>
        <w:numPr>
          <w:ilvl w:val="0"/>
          <w:numId w:val="1"/>
        </w:numPr>
      </w:pPr>
      <w:r w:rsidRPr="007F5F70">
        <w:rPr>
          <w:b/>
          <w:bCs/>
        </w:rPr>
        <w:t>PTD</w:t>
      </w:r>
      <w:r w:rsidRPr="007F5F70">
        <w:t> = Coste regulado del peaje de transporte y distribución establecido y publicado por la CNMC y aplicado sobre el total de la energía consumida.</w:t>
      </w:r>
    </w:p>
    <w:p w14:paraId="18EE54E7" w14:textId="77777777" w:rsidR="007F5F70" w:rsidRPr="007F5F70" w:rsidRDefault="007F5F70" w:rsidP="007F5F70">
      <w:pPr>
        <w:numPr>
          <w:ilvl w:val="0"/>
          <w:numId w:val="1"/>
        </w:numPr>
      </w:pPr>
      <w:r w:rsidRPr="007F5F70">
        <w:rPr>
          <w:b/>
          <w:bCs/>
        </w:rPr>
        <w:lastRenderedPageBreak/>
        <w:t>CA</w:t>
      </w:r>
      <w:r w:rsidRPr="007F5F70">
        <w:t> = Coste regulado de los cargos del sistema eléctrico definidos por el Ministerio correspondiente, aplicado sobre el total de la energía consumida.</w:t>
      </w:r>
    </w:p>
    <w:p w14:paraId="658D3CAD" w14:textId="77777777" w:rsidR="00EB6984" w:rsidRDefault="00EB6984"/>
    <w:p w14:paraId="25A191EC" w14:textId="77777777" w:rsidR="00490DAB" w:rsidRPr="00490DAB" w:rsidRDefault="00490DAB" w:rsidP="00490DAB">
      <w:pPr>
        <w:rPr>
          <w:b/>
          <w:bCs/>
        </w:rPr>
      </w:pPr>
      <w:r w:rsidRPr="00490DAB">
        <w:rPr>
          <w:b/>
          <w:bCs/>
        </w:rPr>
        <w:t>Compensación de excedentes con la Tarifa Indexada</w:t>
      </w:r>
    </w:p>
    <w:p w14:paraId="4267C375" w14:textId="77777777" w:rsidR="00490DAB" w:rsidRPr="00490DAB" w:rsidRDefault="00490DAB" w:rsidP="00490DAB">
      <w:r w:rsidRPr="00490DAB">
        <w:t>Compensamos los excedentes al precio de la electricidad mayorista, sin sumar ni restar costes adicionales como peajes y cargos.</w:t>
      </w:r>
      <w:r w:rsidRPr="00490DAB">
        <w:br/>
        <w:t>El precio varía cada hora. Suele ser más económico durante las horas de sol y más elevado cuando la demanda aumenta en ausencia de luz.</w:t>
      </w:r>
      <w:r w:rsidRPr="00490DAB">
        <w:br/>
        <w:t>A la hora de elegir la tarifa más beneficiosa para ti, es importante que analices si la cantidad de excedentes que tienes es muy significativa y en qué horarios te sobra mayor cantidad de electricidad. En las instalaciones fotovoltaicas, suele haber más energía sobrante en las horas de mayor producción.</w:t>
      </w:r>
      <w:r w:rsidRPr="00490DAB">
        <w:br/>
        <w:t>Y es ahí cuando los precios de compensación suelen ser más bajos, mientras que en las horas en que se incrementa el consumo de electricidad no hay producción renovable. Por eso los precios a los que se paga la electricidad suelen ser mayores en esos horarios, así que:</w:t>
      </w:r>
    </w:p>
    <w:p w14:paraId="6458F7E1" w14:textId="77777777" w:rsidR="00490DAB" w:rsidRDefault="00490DAB"/>
    <w:sectPr w:rsidR="00490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48D2"/>
    <w:multiLevelType w:val="multilevel"/>
    <w:tmpl w:val="AF3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11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F70"/>
    <w:rsid w:val="001D5B98"/>
    <w:rsid w:val="00490DAB"/>
    <w:rsid w:val="007F5F70"/>
    <w:rsid w:val="009624B3"/>
    <w:rsid w:val="009F19AB"/>
    <w:rsid w:val="00B346C9"/>
    <w:rsid w:val="00C571C2"/>
    <w:rsid w:val="00E9771D"/>
    <w:rsid w:val="00EB6984"/>
    <w:rsid w:val="00EC7C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59F7"/>
  <w15:chartTrackingRefBased/>
  <w15:docId w15:val="{F886797B-914D-4E7B-8B67-D647098A2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5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5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5F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5F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5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5F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5F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5F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5F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5F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F5F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F5F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F5F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F5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F5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5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5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5F70"/>
    <w:rPr>
      <w:rFonts w:eastAsiaTheme="majorEastAsia" w:cstheme="majorBidi"/>
      <w:color w:val="272727" w:themeColor="text1" w:themeTint="D8"/>
    </w:rPr>
  </w:style>
  <w:style w:type="paragraph" w:styleId="Ttulo">
    <w:name w:val="Title"/>
    <w:basedOn w:val="Normal"/>
    <w:next w:val="Normal"/>
    <w:link w:val="TtuloCar"/>
    <w:uiPriority w:val="10"/>
    <w:qFormat/>
    <w:rsid w:val="007F5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5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5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5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5F70"/>
    <w:pPr>
      <w:spacing w:before="160"/>
      <w:jc w:val="center"/>
    </w:pPr>
    <w:rPr>
      <w:i/>
      <w:iCs/>
      <w:color w:val="404040" w:themeColor="text1" w:themeTint="BF"/>
    </w:rPr>
  </w:style>
  <w:style w:type="character" w:customStyle="1" w:styleId="CitaCar">
    <w:name w:val="Cita Car"/>
    <w:basedOn w:val="Fuentedeprrafopredeter"/>
    <w:link w:val="Cita"/>
    <w:uiPriority w:val="29"/>
    <w:rsid w:val="007F5F70"/>
    <w:rPr>
      <w:i/>
      <w:iCs/>
      <w:color w:val="404040" w:themeColor="text1" w:themeTint="BF"/>
    </w:rPr>
  </w:style>
  <w:style w:type="paragraph" w:styleId="Prrafodelista">
    <w:name w:val="List Paragraph"/>
    <w:basedOn w:val="Normal"/>
    <w:uiPriority w:val="34"/>
    <w:qFormat/>
    <w:rsid w:val="007F5F70"/>
    <w:pPr>
      <w:ind w:left="720"/>
      <w:contextualSpacing/>
    </w:pPr>
  </w:style>
  <w:style w:type="character" w:styleId="nfasisintenso">
    <w:name w:val="Intense Emphasis"/>
    <w:basedOn w:val="Fuentedeprrafopredeter"/>
    <w:uiPriority w:val="21"/>
    <w:qFormat/>
    <w:rsid w:val="007F5F70"/>
    <w:rPr>
      <w:i/>
      <w:iCs/>
      <w:color w:val="2F5496" w:themeColor="accent1" w:themeShade="BF"/>
    </w:rPr>
  </w:style>
  <w:style w:type="paragraph" w:styleId="Citadestacada">
    <w:name w:val="Intense Quote"/>
    <w:basedOn w:val="Normal"/>
    <w:next w:val="Normal"/>
    <w:link w:val="CitadestacadaCar"/>
    <w:uiPriority w:val="30"/>
    <w:qFormat/>
    <w:rsid w:val="007F5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5F70"/>
    <w:rPr>
      <w:i/>
      <w:iCs/>
      <w:color w:val="2F5496" w:themeColor="accent1" w:themeShade="BF"/>
    </w:rPr>
  </w:style>
  <w:style w:type="character" w:styleId="Referenciaintensa">
    <w:name w:val="Intense Reference"/>
    <w:basedOn w:val="Fuentedeprrafopredeter"/>
    <w:uiPriority w:val="32"/>
    <w:qFormat/>
    <w:rsid w:val="007F5F70"/>
    <w:rPr>
      <w:b/>
      <w:bCs/>
      <w:smallCaps/>
      <w:color w:val="2F5496" w:themeColor="accent1" w:themeShade="BF"/>
      <w:spacing w:val="5"/>
    </w:rPr>
  </w:style>
  <w:style w:type="character" w:styleId="Hipervnculo">
    <w:name w:val="Hyperlink"/>
    <w:basedOn w:val="Fuentedeprrafopredeter"/>
    <w:uiPriority w:val="99"/>
    <w:unhideWhenUsed/>
    <w:rsid w:val="00490DAB"/>
    <w:rPr>
      <w:color w:val="0563C1" w:themeColor="hyperlink"/>
      <w:u w:val="single"/>
    </w:rPr>
  </w:style>
  <w:style w:type="character" w:styleId="Mencinsinresolver">
    <w:name w:val="Unresolved Mention"/>
    <w:basedOn w:val="Fuentedeprrafopredeter"/>
    <w:uiPriority w:val="99"/>
    <w:semiHidden/>
    <w:unhideWhenUsed/>
    <w:rsid w:val="00490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menergia.coop/es/servicios/como-calculamos-el-preci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598</Words>
  <Characters>3294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Garcia</dc:creator>
  <cp:keywords/>
  <dc:description/>
  <cp:lastModifiedBy>Jose Luis Garcia</cp:lastModifiedBy>
  <cp:revision>3</cp:revision>
  <dcterms:created xsi:type="dcterms:W3CDTF">2026-02-12T08:39:00Z</dcterms:created>
  <dcterms:modified xsi:type="dcterms:W3CDTF">2026-04-14T11:30:00Z</dcterms:modified>
</cp:coreProperties>
</file>