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Stable1" Type="http://schemas.openxmlformats.org/officeDocument/2006/relationships/officeDocument" Target="word/document.xml"/><Relationship Id="rIdStable2" Type="http://schemas.openxmlformats.org/package/2006/relationships/metadata/core-properties" Target="docProps/core.xml"/><Relationship Id="rIdStable3" Type="http://schemas.openxmlformats.org/officeDocument/2006/relationships/extended-properties" Target="docProps/app.xml"/><Relationship Id="rIdStable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9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260"/>
        <w:gridCol w:w="6830"/>
      </w:tblGrid>
      <w:tr>
        <w:trPr>
          <w:cantSplit/>
        </w:trPr>
        <w:tc>
          <w:tcPr>
            <w:tcW w:type="dxa" w:w="3260"/>
            <w:tcBorders>
              <w:top w:val="none" w:color="FFFFFF" w:sz="0"/>
              <w:left w:val="none" w:color="FFFFFF" w:sz="0"/>
              <w:bottom w:val="none" w:color="FFFFFF" w:sz="0"/>
              <w:right w:val="none" w:color="FFFFFF" w:sz="0"/>
            </w:tcBorders>
            <w:shd w:fill="DFE9ED" w:val="clear"/>
            <w:tcMar>
              <w:top w:type="dxa" w:w="140"/>
              <w:left w:type="dxa" w:w="0"/>
              <w:bottom w:type="dxa" w:w="140"/>
              <w:right w:type="dxa" w:w="0"/>
            </w:tcMar>
          </w:tcPr>
          <w:p>
            <w:pPr>
              <w:spacing w:line="240" w:lineRule="auto" w:before="0" w:after="0"/>
            </w:pPr>
            <w:r>
              <w:drawing>
                <wp:inline distT="0" distB="0" distL="0" distR="0">
                  <wp:extent cx="2066925" cy="2072105"/>
                  <wp:effectExtent t="0" r="0" b="0" l="0"/>
                  <wp:docPr id="1" name="Approved portrait" descr="Professional portrait of José Luis Illana Ruiz" title="José Luis Illana Ru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Stable16" cstate="none"/>
                          <a:srcRect/>
                          <a:stretch>
                            <a:fillRect/>
                          </a:stretch>
                        </pic:blipFill>
                        <pic:spPr bwMode="auto">
                          <a:xfrm>
                            <a:off x="0" y="0"/>
                            <a:ext cx="2066925" cy="2072105"/>
                          </a:xfrm>
                          <a:prstGeom prst="rect">
                            <a:avLst/>
                          </a:prstGeom>
                        </pic:spPr>
                      </pic:pic>
                    </a:graphicData>
                  </a:graphic>
                </wp:inline>
              </w:drawing>
            </w:r>
          </w:p>
        </w:tc>
        <w:tc>
          <w:tcPr>
            <w:tcW w:type="dxa" w:w="6830"/>
            <w:tcBorders>
              <w:top w:val="none" w:color="FFFFFF" w:sz="0"/>
              <w:left w:val="none" w:color="FFFFFF" w:sz="0"/>
              <w:bottom w:val="none" w:color="FFFFFF" w:sz="0"/>
              <w:right w:val="none" w:color="FFFFFF" w:sz="0"/>
            </w:tcBorders>
            <w:shd w:fill="315D72" w:val="clear"/>
            <w:tcMar>
              <w:top w:type="dxa" w:w="140"/>
              <w:left w:type="dxa" w:w="180"/>
              <w:bottom w:type="dxa" w:w="140"/>
              <w:right w:type="dxa" w:w="180"/>
            </w:tcMar>
          </w:tcPr>
          <w:p>
            <w:pPr>
              <w:pStyle w:val="Title"/>
              <w:spacing w:after="180" w:line="600"/>
              <w:ind w:left="0" w:right="0" w:firstLine="0"/>
              <w:rPr>
                <w:rFonts w:ascii="Noto Serif Display" w:cs="Noto Serif Display" w:eastAsia="Noto Serif Display" w:hAnsi="Noto Serif Display"/>
                <w:b/>
                <w:bCs/>
                <w:color w:val="FFFFFF"/>
                <w:sz w:val="48"/>
                <w:szCs w:val="48"/>
              </w:rPr>
            </w:pPr>
            <w:r>
              <w:rPr>
                <w:rFonts w:ascii="Noto Serif Display" w:cs="Noto Serif Display" w:eastAsia="Noto Serif Display" w:hAnsi="Noto Serif Display"/>
                <w:b/>
                <w:bCs/>
                <w:color w:val="FFFFFF"/>
                <w:sz w:val="48"/>
                <w:szCs w:val="48"/>
              </w:rPr>
              <w:t xml:space="preserve">José Luis Illana Ruiz</w:t>
            </w:r>
          </w:p>
          <w:p>
            <w:pPr>
              <w:spacing w:after="70" w:line="275"/>
              <w:ind w:left="0" w:right="0" w:firstLine="0"/>
              <w:rPr>
                <w:b/>
                <w:bCs/>
                <w:color w:val="FFFFFF"/>
              </w:rPr>
            </w:pPr>
            <w:r>
              <w:rPr>
                <w:rFonts w:ascii="Noto Sans" w:cs="Noto Sans" w:eastAsia="Noto Sans" w:hAnsi="Noto Sans"/>
                <w:b/>
                <w:bCs/>
                <w:color w:val="FFFFFF"/>
                <w:sz w:val="22"/>
                <w:szCs w:val="22"/>
              </w:rPr>
              <w:t xml:space="preserve">Software Architect · Large-Scale Distributed Systems &amp; Platforms</w:t>
            </w:r>
          </w:p>
          <w:p>
            <w:pPr>
              <w:spacing w:after="70" w:line="275"/>
              <w:ind w:left="0" w:right="0" w:firstLine="0"/>
              <w:rPr>
                <w:color w:val="FFFFFF"/>
              </w:rPr>
            </w:pPr>
            <w:r>
              <w:rPr>
                <w:rFonts w:ascii="Noto Sans" w:cs="Noto Sans" w:eastAsia="Noto Sans" w:hAnsi="Noto Sans"/>
                <w:color w:val="FFFFFF"/>
                <w:sz w:val="22"/>
                <w:szCs w:val="22"/>
              </w:rPr>
              <w:t xml:space="preserve">17+ years of experience in software engineering</w:t>
            </w:r>
          </w:p>
          <w:p>
            <w:pPr>
              <w:spacing w:after="70" w:line="275"/>
              <w:ind w:left="0" w:right="0" w:firstLine="0"/>
              <w:rPr>
                <w:color w:val="FFFFFF"/>
              </w:rPr>
            </w:pPr>
            <w:r>
              <w:rPr>
                <w:rFonts w:ascii="Noto Sans" w:cs="Noto Sans" w:eastAsia="Noto Sans" w:hAnsi="Noto Sans"/>
                <w:color w:val="FFFFFF"/>
                <w:sz w:val="22"/>
                <w:szCs w:val="22"/>
              </w:rPr>
              <w:t xml:space="preserve">Design and scale distributed platforms for high-throughput data ingestion and processing, shared platform services and developer tooling.</w:t>
            </w:r>
          </w:p>
          <w:p>
            <w:pPr>
              <w:spacing w:after="70" w:line="275"/>
              <w:ind w:left="0" w:right="0" w:firstLine="0"/>
              <w:rPr>
                <w:color w:val="FFFFFF"/>
              </w:rPr>
            </w:pPr>
            <w:r>
              <w:rPr>
                <w:rFonts w:ascii="Noto Sans" w:cs="Noto Sans" w:eastAsia="Noto Sans" w:hAnsi="Noto Sans"/>
                <w:color w:val="FFFFFF"/>
                <w:sz w:val="22"/>
                <w:szCs w:val="22"/>
              </w:rPr>
              <w:t xml:space="preserve">Bridge architecture, hands-on engineering and operations across the software lifecycle, from design through production.</w:t>
            </w:r>
          </w:p>
          <w:p>
            <w:pPr>
              <w:spacing w:after="70" w:line="275"/>
              <w:ind w:left="0" w:right="0" w:firstLine="0"/>
              <w:rPr>
                <w:color w:val="FFFFFF"/>
              </w:rPr>
            </w:pPr>
            <w:r>
              <w:rPr>
                <w:rFonts w:ascii="Noto Sans" w:cs="Noto Sans" w:eastAsia="Noto Sans" w:hAnsi="Noto Sans"/>
                <w:color w:val="FFFFFF"/>
                <w:sz w:val="22"/>
                <w:szCs w:val="22"/>
              </w:rPr>
              <w:t xml:space="preserve">Recent focus on observability and monitoring for mission-critical banking infrastructure.</w:t>
            </w:r>
          </w:p>
        </w:tc>
      </w:tr>
    </w:tbl>
    <w:tbl>
      <w:tblPr>
        <w:tblW w:type="dxa" w:w="1009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260"/>
        <w:gridCol w:w="6830"/>
      </w:tblGrid>
      <w:tr>
        <w:trPr>
          <w:cantSplit/>
        </w:trPr>
        <w:tc>
          <w:tcPr>
            <w:tcW w:type="dxa" w:w="3260"/>
            <w:tcBorders>
              <w:top w:val="none" w:color="FFFFFF" w:sz="0"/>
              <w:left w:val="none" w:color="FFFFFF" w:sz="0"/>
              <w:bottom w:val="none" w:color="FFFFFF" w:sz="0"/>
              <w:right w:val="none" w:color="FFFFFF" w:sz="0"/>
            </w:tcBorders>
            <w:shd w:fill="DFE9ED" w:val="clear"/>
            <w:tcMar>
              <w:top w:type="dxa" w:w="140"/>
              <w:left w:type="dxa" w:w="180"/>
              <w:bottom w:type="dxa" w:w="140"/>
              <w:right w:type="dxa" w:w="180"/>
            </w:tcMar>
          </w:tcPr>
          <w:p>
            <w:pPr>
              <w:pStyle w:val="Heading2"/>
              <w:spacing w:before="120" w:after="160"/>
              <w:ind w:left="0" w:right="0" w:firstLine="0"/>
              <w:rPr>
                <w:b/>
                <w:bCs/>
                <w:color w:val="315D72"/>
              </w:rPr>
            </w:pPr>
            <w:r>
              <w:rPr>
                <w:rFonts w:ascii="Noto Sans" w:cs="Noto Sans" w:eastAsia="Noto Sans" w:hAnsi="Noto Sans"/>
                <w:b/>
                <w:bCs/>
                <w:color w:val="315D72"/>
                <w:sz w:val="22"/>
                <w:szCs w:val="22"/>
              </w:rPr>
              <w:t xml:space="preserve">SKILLS</w:t>
            </w:r>
          </w:p>
          <w:p>
            <w:pPr>
              <w:spacing w:after="100" w:line="275"/>
              <w:ind w:left="0" w:right="0" w:firstLine="0"/>
            </w:pPr>
            <w:r>
              <w:rPr>
                <w:rFonts w:ascii="Noto Sans" w:cs="Noto Sans" w:eastAsia="Noto Sans" w:hAnsi="Noto Sans"/>
                <w:sz w:val="22"/>
                <w:szCs w:val="22"/>
              </w:rPr>
              <w:t xml:space="preserve">Design, development and evolution of distributed platforms for large-scale data ingestion and use</w:t>
            </w:r>
          </w:p>
          <w:p>
            <w:pPr>
              <w:spacing w:after="100" w:line="275"/>
              <w:ind w:left="0" w:right="0" w:firstLine="0"/>
            </w:pPr>
            <w:r>
              <w:rPr>
                <w:rFonts w:ascii="Noto Sans" w:cs="Noto Sans" w:eastAsia="Noto Sans" w:hAnsi="Noto Sans"/>
                <w:sz w:val="22"/>
                <w:szCs w:val="22"/>
              </w:rPr>
              <w:t xml:space="preserve">Observability and monitoring</w:t>
            </w:r>
          </w:p>
          <w:p>
            <w:pPr>
              <w:spacing w:after="100" w:line="275"/>
              <w:ind w:left="0" w:right="0" w:firstLine="0"/>
            </w:pPr>
            <w:r>
              <w:rPr>
                <w:rFonts w:ascii="Noto Sans" w:cs="Noto Sans" w:eastAsia="Noto Sans" w:hAnsi="Noto Sans"/>
                <w:sz w:val="22"/>
                <w:szCs w:val="22"/>
              </w:rPr>
              <w:t xml:space="preserve">Resilience, scalability and high availability</w:t>
            </w:r>
          </w:p>
          <w:p>
            <w:pPr>
              <w:spacing w:after="100" w:line="275"/>
              <w:ind w:left="0" w:right="0" w:firstLine="0"/>
            </w:pPr>
            <w:r>
              <w:rPr>
                <w:rFonts w:ascii="Noto Sans" w:cs="Noto Sans" w:eastAsia="Noto Sans" w:hAnsi="Noto Sans"/>
                <w:sz w:val="22"/>
                <w:szCs w:val="22"/>
              </w:rPr>
              <w:t xml:space="preserve">Technical leadership and people management</w:t>
            </w:r>
          </w:p>
          <w:p>
            <w:pPr>
              <w:spacing w:after="100" w:line="275"/>
              <w:ind w:left="0" w:right="0" w:firstLine="0"/>
            </w:pPr>
            <w:r>
              <w:rPr>
                <w:rFonts w:ascii="Noto Sans" w:cs="Noto Sans" w:eastAsia="Noto Sans" w:hAnsi="Noto Sans"/>
                <w:sz w:val="22"/>
                <w:szCs w:val="22"/>
              </w:rPr>
              <w:t xml:space="preserve">Go, Java and Scala</w:t>
            </w:r>
          </w:p>
          <w:p>
            <w:pPr>
              <w:spacing w:after="100" w:line="275"/>
              <w:ind w:left="0" w:right="0" w:firstLine="0"/>
            </w:pPr>
            <w:r>
              <w:rPr>
                <w:rFonts w:ascii="Noto Sans" w:cs="Noto Sans" w:eastAsia="Noto Sans" w:hAnsi="Noto Sans"/>
                <w:sz w:val="22"/>
                <w:szCs w:val="22"/>
              </w:rPr>
              <w:t xml:space="preserve">Elasticsearch and time-series platforms</w:t>
            </w:r>
          </w:p>
          <w:p>
            <w:pPr>
              <w:spacing w:after="100" w:line="275"/>
              <w:ind w:left="0" w:right="0" w:firstLine="0"/>
            </w:pPr>
            <w:r>
              <w:rPr>
                <w:rFonts w:ascii="Noto Sans" w:cs="Noto Sans" w:eastAsia="Noto Sans" w:hAnsi="Noto Sans"/>
                <w:sz w:val="22"/>
                <w:szCs w:val="22"/>
              </w:rPr>
              <w:t xml:space="preserve">CI/CD, TDD, BDD, TLS and mTLS.</w:t>
            </w:r>
          </w:p>
          <w:p>
            <w:pPr>
              <w:spacing w:after="100" w:line="275"/>
              <w:ind w:left="0" w:right="0" w:firstLine="0"/>
            </w:pPr>
            <w:r>
              <w:rPr>
                <w:rFonts w:ascii="Noto Sans" w:cs="Noto Sans" w:eastAsia="Noto Sans" w:hAnsi="Noto Sans"/>
                <w:b/>
                <w:bCs/>
                <w:sz w:val="22"/>
                <w:szCs w:val="22"/>
              </w:rPr>
              <w:t xml:space="preserve">AI-assisted engineering:</w:t>
            </w:r>
            <w:r>
              <w:rPr>
                <w:rFonts w:ascii="Noto Sans" w:cs="Noto Sans" w:eastAsia="Noto Sans" w:hAnsi="Noto Sans"/>
                <w:sz w:val="22"/>
                <w:szCs w:val="22"/>
              </w:rPr>
              <w:t xml:space="preserve"> efficient use of AI-assisted software development, AI SDD and Harness Engineering.</w:t>
            </w:r>
          </w:p>
          <w:p>
            <w:pPr>
              <w:pStyle w:val="Heading2"/>
              <w:spacing w:before="120" w:after="160"/>
              <w:ind w:left="0" w:right="0" w:firstLine="0"/>
              <w:rPr>
                <w:b/>
                <w:bCs/>
                <w:color w:val="315D72"/>
              </w:rPr>
            </w:pPr>
            <w:r>
              <w:rPr>
                <w:rFonts w:ascii="Noto Sans" w:cs="Noto Sans" w:eastAsia="Noto Sans" w:hAnsi="Noto Sans"/>
                <w:b/>
                <w:bCs/>
                <w:color w:val="315D72"/>
                <w:sz w:val="22"/>
                <w:szCs w:val="22"/>
              </w:rPr>
              <w:t xml:space="preserve">CONTACT</w:t>
            </w:r>
          </w:p>
          <w:p>
            <w:pPr>
              <w:spacing w:after="140" w:line="275"/>
              <w:ind w:left="0" w:right="0" w:firstLine="0"/>
            </w:pPr>
            <w:r>
              <w:rPr>
                <w:rFonts w:ascii="Noto Sans" w:cs="Noto Sans" w:eastAsia="Noto Sans" w:hAnsi="Noto Sans"/>
                <w:sz w:val="22"/>
                <w:szCs w:val="22"/>
              </w:rPr>
              <w:t xml:space="preserve">Madrid (Spain)</w:t>
            </w:r>
          </w:p>
          <w:p>
            <w:pPr>
              <w:spacing w:after="140" w:line="275"/>
            </w:pPr>
            <w:hyperlink w:history="1" r:id="rIdStable6">
              <w:r>
                <w:rPr>
                  <w:rStyle w:val="Hyperlink"/>
                  <w:rFonts w:ascii="Noto Sans" w:cs="Noto Sans" w:eastAsia="Noto Sans" w:hAnsi="Noto Sans"/>
                  <w:sz w:val="21"/>
                  <w:szCs w:val="21"/>
                </w:rPr>
                <w:t xml:space="preserve">joseluisillana@gmail.com</w:t>
              </w:r>
            </w:hyperlink>
          </w:p>
          <w:p>
            <w:pPr>
              <w:spacing w:after="140" w:line="275"/>
            </w:pPr>
            <w:hyperlink w:history="1" r:id="rIdStable7">
              <w:r>
                <w:rPr>
                  <w:rStyle w:val="Hyperlink"/>
                  <w:rFonts w:ascii="Noto Sans" w:cs="Noto Sans" w:eastAsia="Noto Sans" w:hAnsi="Noto Sans"/>
                  <w:sz w:val="21"/>
                  <w:szCs w:val="21"/>
                </w:rPr>
                <w:t xml:space="preserve">+34625722980</w:t>
              </w:r>
            </w:hyperlink>
          </w:p>
          <w:p>
            <w:pPr>
              <w:spacing w:after="140" w:line="275"/>
              <w:ind w:left="0" w:right="0" w:firstLine="0"/>
            </w:pPr>
            <w:hyperlink w:history="1" r:id="rIdStable8">
              <w:r>
                <w:rPr>
                  <w:rStyle w:val="Hyperlink"/>
                  <w:rFonts w:ascii="Noto Sans" w:cs="Noto Sans" w:eastAsia="Noto Sans" w:hAnsi="Noto Sans"/>
                  <w:sz w:val="22"/>
                  <w:szCs w:val="22"/>
                </w:rPr>
                <w:t xml:space="preserve">LinkedIn</w:t>
              </w:r>
            </w:hyperlink>
            <w:r>
              <w:rPr>
                <w:rFonts w:ascii="Noto Sans" w:cs="Noto Sans" w:eastAsia="Noto Sans" w:hAnsi="Noto Sans"/>
                <w:sz w:val="22"/>
                <w:szCs w:val="22"/>
              </w:rPr>
              <w:t xml:space="preserve"> · </w:t>
            </w:r>
            <w:hyperlink w:history="1" r:id="rIdStable9">
              <w:r>
                <w:rPr>
                  <w:rStyle w:val="Hyperlink"/>
                  <w:rFonts w:ascii="Noto Sans" w:cs="Noto Sans" w:eastAsia="Noto Sans" w:hAnsi="Noto Sans"/>
                  <w:sz w:val="22"/>
                  <w:szCs w:val="22"/>
                </w:rPr>
                <w:t xml:space="preserve">GitHub</w:t>
              </w:r>
            </w:hyperlink>
          </w:p>
        </w:tc>
        <w:tc>
          <w:tcPr>
            <w:tcW w:type="dxa" w:w="6830"/>
            <w:tcBorders>
              <w:top w:val="none" w:color="FFFFFF" w:sz="0"/>
              <w:left w:val="none" w:color="FFFFFF" w:sz="0"/>
              <w:bottom w:val="none" w:color="FFFFFF" w:sz="0"/>
              <w:right w:val="none" w:color="FFFFFF" w:sz="0"/>
            </w:tcBorders>
            <w:tcMar>
              <w:top w:type="dxa" w:w="140"/>
              <w:left w:type="dxa" w:w="180"/>
              <w:bottom w:type="dxa" w:w="140"/>
              <w:right w:type="dxa" w:w="180"/>
            </w:tcMar>
          </w:tcPr>
          <w:p>
            <w:pPr>
              <w:pStyle w:val="Heading2"/>
              <w:spacing w:before="120" w:after="160"/>
              <w:ind w:left="0" w:right="0" w:firstLine="0"/>
              <w:rPr>
                <w:b/>
                <w:bCs/>
                <w:color w:val="315D72"/>
              </w:rPr>
            </w:pPr>
            <w:r>
              <w:rPr>
                <w:rFonts w:ascii="Noto Sans" w:cs="Noto Sans" w:eastAsia="Noto Sans" w:hAnsi="Noto Sans"/>
                <w:b/>
                <w:bCs/>
                <w:color w:val="315D72"/>
                <w:sz w:val="22"/>
                <w:szCs w:val="22"/>
              </w:rPr>
              <w:t xml:space="preserve">RECENT EXPERIENCE</w:t>
            </w:r>
          </w:p>
          <w:p>
            <w:pPr>
              <w:spacing w:after="140" w:line="275"/>
              <w:ind w:left="0" w:right="0" w:firstLine="0"/>
            </w:pPr>
            <w:r>
              <w:rPr>
                <w:rFonts w:ascii="Noto Sans" w:cs="Noto Sans" w:eastAsia="Noto Sans" w:hAnsi="Noto Sans"/>
                <w:b/>
                <w:bCs/>
                <w:sz w:val="22"/>
                <w:szCs w:val="22"/>
              </w:rPr>
              <w:t xml:space="preserve">BBVA Technology in Europe</w:t>
            </w:r>
          </w:p>
          <w:p>
            <w:pPr>
              <w:spacing w:after="140" w:line="275"/>
              <w:ind w:left="0" w:right="0" w:firstLine="0"/>
            </w:pPr>
            <w:r>
              <w:rPr>
                <w:rFonts w:ascii="Noto Sans" w:cs="Noto Sans" w:eastAsia="Noto Sans" w:hAnsi="Noto Sans"/>
                <w:b/>
                <w:bCs/>
                <w:sz w:val="22"/>
                <w:szCs w:val="22"/>
              </w:rPr>
              <w:t xml:space="preserve">Principal Platform Architect (Technical Lead) - Monitoring &amp; Observability Platform BBVA</w:t>
            </w:r>
          </w:p>
          <w:p>
            <w:pPr>
              <w:spacing w:after="140" w:line="275"/>
              <w:ind w:left="0" w:right="0" w:firstLine="0"/>
            </w:pPr>
            <w:r>
              <w:rPr>
                <w:rFonts w:ascii="Noto Sans" w:cs="Noto Sans" w:eastAsia="Noto Sans" w:hAnsi="Noto Sans"/>
                <w:sz w:val="22"/>
                <w:szCs w:val="22"/>
              </w:rPr>
              <w:t xml:space="preserve">January 2020–present</w:t>
            </w:r>
          </w:p>
          <w:p>
            <w:pPr>
              <w:pStyle w:val="ListParagraph"/>
              <w:numPr>
                <w:ilvl w:val="0"/>
                <w:numId w:val="2"/>
              </w:numPr>
              <w:tabs>
                <w:tab w:val="left" w:pos="284"/>
              </w:tabs>
              <w:spacing w:after="140" w:line="275"/>
              <w:ind w:left="284" w:hanging="150"/>
            </w:pPr>
            <w:r>
              <w:rPr>
                <w:rFonts w:ascii="Noto Sans" w:cs="Noto Sans" w:eastAsia="Noto Sans" w:hAnsi="Noto Sans"/>
                <w:sz w:val="22"/>
                <w:szCs w:val="22"/>
              </w:rPr>
              <w:t xml:space="preserve">Architect and develop telemetry ingestion and query services for traces, logs, metrics and alerts. Ingestion processes millions of individual events per second (EPS), enabling real-time observability and querying.</w:t>
            </w:r>
          </w:p>
          <w:p>
            <w:pPr>
              <w:pStyle w:val="ListParagraph"/>
              <w:numPr>
                <w:ilvl w:val="0"/>
                <w:numId w:val="2"/>
              </w:numPr>
              <w:tabs>
                <w:tab w:val="left" w:pos="284"/>
              </w:tabs>
              <w:spacing w:after="140" w:line="275"/>
              <w:ind w:left="284" w:hanging="150"/>
            </w:pPr>
            <w:r>
              <w:rPr>
                <w:rFonts w:ascii="Noto Sans" w:cs="Noto Sans" w:eastAsia="Noto Sans" w:hAnsi="Noto Sans"/>
                <w:sz w:val="22"/>
                <w:szCs w:val="22"/>
              </w:rPr>
              <w:t xml:space="preserve">Own platform and container infrastructure operations, capacity planning and lifecycle evolution, with multi-region, high-availability architectures supporting mission-critical banking services.</w:t>
            </w:r>
          </w:p>
          <w:p>
            <w:pPr>
              <w:pStyle w:val="ListParagraph"/>
              <w:numPr>
                <w:ilvl w:val="0"/>
                <w:numId w:val="2"/>
              </w:numPr>
              <w:tabs>
                <w:tab w:val="left" w:pos="284"/>
              </w:tabs>
              <w:spacing w:after="140" w:line="275"/>
              <w:ind w:left="284" w:hanging="150"/>
            </w:pPr>
            <w:r>
              <w:rPr>
                <w:rFonts w:ascii="Noto Sans" w:cs="Noto Sans" w:eastAsia="Noto Sans" w:hAnsi="Noto Sans"/>
                <w:sz w:val="22"/>
                <w:szCs w:val="22"/>
              </w:rPr>
              <w:t xml:space="preserve">Drive cross-team technical alignment, translate business requirements into scalable architectures and champion CI/CD, TDD and BDD practices to mitigate risks and technical debt.</w:t>
            </w:r>
          </w:p>
          <w:p>
            <w:pPr>
              <w:pStyle w:val="ListParagraph"/>
              <w:numPr>
                <w:ilvl w:val="0"/>
                <w:numId w:val="2"/>
              </w:numPr>
              <w:tabs>
                <w:tab w:val="left" w:pos="284"/>
              </w:tabs>
              <w:spacing w:after="140" w:line="275"/>
              <w:ind w:left="284" w:hanging="150"/>
            </w:pPr>
            <w:r>
              <w:rPr>
                <w:rFonts w:ascii="Noto Sans" w:cs="Noto Sans" w:eastAsia="Noto Sans" w:hAnsi="Noto Sans"/>
                <w:sz w:val="22"/>
                <w:szCs w:val="22"/>
              </w:rPr>
              <w:t xml:space="preserve">Design, implement and maintain IAM, service discovery, RBAC and secure service exposure for developer self-service, enforcing secure-communication standards and pre-production technical validations.</w:t>
            </w:r>
          </w:p>
          <w:p>
            <w:pPr>
              <w:pStyle w:val="ListParagraph"/>
              <w:numPr>
                <w:ilvl w:val="0"/>
                <w:numId w:val="2"/>
              </w:numPr>
              <w:tabs>
                <w:tab w:val="left" w:pos="284"/>
              </w:tabs>
              <w:spacing w:after="140" w:line="275"/>
              <w:ind w:left="284" w:hanging="150"/>
            </w:pPr>
            <w:r>
              <w:rPr>
                <w:rFonts w:ascii="Noto Sans" w:cs="Noto Sans" w:eastAsia="Noto Sans" w:hAnsi="Noto Sans"/>
                <w:sz w:val="22"/>
                <w:szCs w:val="22"/>
              </w:rPr>
              <w:t xml:space="preserve">Lead critical incident resolution, root-cause analyses and post-mortems to improve platform fault tolerance and resilience.</w:t>
            </w:r>
          </w:p>
        </w:tc>
      </w:tr>
    </w:tbl>
    <w:p>
      <w:pPr>
        <w:spacing w:after="0" w:line="265"/>
        <w:ind w:left="0" w:right="0" w:firstLine="0"/>
        <w:rPr>
          <w:sz w:val="21"/>
          <w:szCs w:val="21"/>
        </w:rPr>
      </w:pPr>
      <w:hyperlink w:history="1" r:id="rIdStable10">
        <w:r>
          <w:rPr>
            <w:rStyle w:val="Hyperlink"/>
            <w:rFonts w:ascii="Noto Sans" w:cs="Noto Sans" w:eastAsia="Noto Sans" w:hAnsi="Noto Sans"/>
            <w:sz w:val="21"/>
            <w:szCs w:val="21"/>
          </w:rPr>
          <w:t xml:space="preserve">https://joseluisillana.github.io/</w:t>
        </w:r>
      </w:hyperlink>
    </w:p>
    <w:p>
      <w:r>
        <w:br w:type="page"/>
      </w:r>
    </w:p>
    <w:tbl>
      <w:tblPr>
        <w:tblW w:type="dxa" w:w="1009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90"/>
      </w:tblGrid>
      <w:tr>
        <w:trPr>
          <w:cantSplit/>
        </w:trPr>
        <w:tc>
          <w:tcPr>
            <w:tcW w:type="dxa" w:w="10090"/>
            <w:tcBorders>
              <w:top w:val="none" w:color="FFFFFF" w:sz="0"/>
              <w:left w:val="none" w:color="FFFFFF" w:sz="0"/>
              <w:bottom w:val="none" w:color="FFFFFF" w:sz="0"/>
              <w:right w:val="none" w:color="FFFFFF" w:sz="0"/>
            </w:tcBorders>
            <w:shd w:fill="315D72" w:val="clear"/>
            <w:tcMar>
              <w:top w:type="dxa" w:w="140"/>
              <w:left w:type="dxa" w:w="180"/>
              <w:bottom w:type="dxa" w:w="140"/>
              <w:right w:type="dxa" w:w="180"/>
            </w:tcMar>
          </w:tcPr>
          <w:p>
            <w:pPr>
              <w:spacing w:before="80" w:after="80" w:line="275"/>
              <w:ind w:left="0" w:right="0" w:firstLine="0"/>
              <w:rPr>
                <w:b/>
                <w:bCs/>
                <w:color w:val="FFFFFF"/>
              </w:rPr>
            </w:pPr>
            <w:r>
              <w:rPr>
                <w:rFonts w:ascii="Noto Sans" w:cs="Noto Sans" w:eastAsia="Noto Sans" w:hAnsi="Noto Sans"/>
                <w:b/>
                <w:bCs/>
                <w:color w:val="FFFFFF"/>
                <w:sz w:val="22"/>
                <w:szCs w:val="22"/>
              </w:rPr>
              <w:t xml:space="preserve">José Luis Illana Ruiz</w:t>
            </w:r>
          </w:p>
        </w:tc>
      </w:tr>
    </w:tbl>
    <w:tbl>
      <w:tblPr>
        <w:tblW w:type="dxa" w:w="1009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260"/>
        <w:gridCol w:w="6830"/>
      </w:tblGrid>
      <w:tr>
        <w:trPr>
          <w:cantSplit/>
        </w:trPr>
        <w:tc>
          <w:tcPr>
            <w:tcW w:type="dxa" w:w="3260"/>
            <w:tcBorders>
              <w:top w:val="none" w:color="FFFFFF" w:sz="0"/>
              <w:left w:val="none" w:color="FFFFFF" w:sz="0"/>
              <w:bottom w:val="none" w:color="FFFFFF" w:sz="0"/>
              <w:right w:val="none" w:color="FFFFFF" w:sz="0"/>
            </w:tcBorders>
            <w:shd w:fill="DFE9ED" w:val="clear"/>
            <w:tcMar>
              <w:top w:type="dxa" w:w="140"/>
              <w:left w:type="dxa" w:w="180"/>
              <w:bottom w:type="dxa" w:w="140"/>
              <w:right w:type="dxa" w:w="180"/>
            </w:tcMar>
          </w:tcPr>
          <w:p>
            <w:pPr>
              <w:pStyle w:val="Heading2"/>
              <w:spacing w:before="120" w:after="160"/>
              <w:ind w:left="0" w:right="0" w:firstLine="0"/>
              <w:rPr>
                <w:b/>
                <w:bCs/>
                <w:color w:val="315D72"/>
              </w:rPr>
            </w:pPr>
            <w:r>
              <w:rPr>
                <w:rFonts w:ascii="Noto Sans" w:cs="Noto Sans" w:eastAsia="Noto Sans" w:hAnsi="Noto Sans"/>
                <w:b/>
                <w:bCs/>
                <w:color w:val="315D72"/>
                <w:sz w:val="22"/>
                <w:szCs w:val="22"/>
              </w:rPr>
              <w:t xml:space="preserve">PROFESSIONAL TRAINING</w:t>
            </w:r>
          </w:p>
          <w:p>
            <w:pPr>
              <w:spacing w:after="140" w:line="275"/>
              <w:ind w:left="0" w:right="0" w:firstLine="0"/>
            </w:pPr>
            <w:r>
              <w:rPr>
                <w:rFonts w:ascii="Noto Sans" w:cs="Noto Sans" w:eastAsia="Noto Sans" w:hAnsi="Noto Sans"/>
                <w:b/>
                <w:bCs/>
                <w:sz w:val="22"/>
                <w:szCs w:val="22"/>
              </w:rPr>
              <w:t xml:space="preserve">AI Foundations — OpenAI Academy · 6 July 2026.</w:t>
            </w:r>
            <w:r>
              <w:rPr>
                <w:rFonts w:ascii="Noto Sans" w:cs="Noto Sans" w:eastAsia="Noto Sans" w:hAnsi="Noto Sans"/>
                <w:sz w:val="22"/>
                <w:szCs w:val="22"/>
              </w:rPr>
              <w:t xml:space="preserve"> Completed training; Course Completion Certificate. </w:t>
            </w:r>
            <w:hyperlink w:history="1" r:id="rIdStable11">
              <w:r>
                <w:rPr>
                  <w:rStyle w:val="Hyperlink"/>
                  <w:rFonts w:ascii="Noto Sans" w:cs="Noto Sans" w:eastAsia="Noto Sans" w:hAnsi="Noto Sans"/>
                  <w:sz w:val="22"/>
                  <w:szCs w:val="22"/>
                </w:rPr>
                <w:t xml:space="preserve">Verification</w:t>
              </w:r>
            </w:hyperlink>
            <w:r>
              <w:rPr>
                <w:rFonts w:ascii="Noto Sans" w:cs="Noto Sans" w:eastAsia="Noto Sans" w:hAnsi="Noto Sans"/>
                <w:sz w:val="22"/>
                <w:szCs w:val="22"/>
              </w:rPr>
              <w:t xml:space="preserve">.</w:t>
            </w:r>
          </w:p>
          <w:p>
            <w:pPr>
              <w:spacing w:after="140" w:line="275"/>
              <w:ind w:left="0" w:right="0" w:firstLine="0"/>
            </w:pPr>
            <w:r>
              <w:rPr>
                <w:rFonts w:ascii="Noto Sans" w:cs="Noto Sans" w:eastAsia="Noto Sans" w:hAnsi="Noto Sans"/>
                <w:b/>
                <w:bCs/>
                <w:sz w:val="22"/>
                <w:szCs w:val="22"/>
              </w:rPr>
              <w:t xml:space="preserve">AI Expert — DevExpert · 20 June 2026.</w:t>
            </w:r>
            <w:r>
              <w:rPr>
                <w:rFonts w:ascii="Noto Sans" w:cs="Noto Sans" w:eastAsia="Noto Sans" w:hAnsi="Noto Sans"/>
                <w:sz w:val="22"/>
                <w:szCs w:val="22"/>
              </w:rPr>
              <w:t xml:space="preserve"> Completed online professional training.</w:t>
            </w:r>
          </w:p>
          <w:p>
            <w:pPr>
              <w:spacing w:after="140" w:line="275"/>
              <w:ind w:left="0" w:right="0" w:firstLine="0"/>
            </w:pPr>
            <w:r>
              <w:rPr>
                <w:rFonts w:ascii="Noto Sans" w:cs="Noto Sans" w:eastAsia="Noto Sans" w:hAnsi="Noto Sans"/>
                <w:b/>
                <w:bCs/>
                <w:sz w:val="22"/>
                <w:szCs w:val="22"/>
              </w:rPr>
              <w:t xml:space="preserve">LFS148: Getting Started with OpenTelemetry — The Linux Foundation · 30 March 2026.</w:t>
            </w:r>
            <w:r>
              <w:rPr>
                <w:rFonts w:ascii="Noto Sans" w:cs="Noto Sans" w:eastAsia="Noto Sans" w:hAnsi="Noto Sans"/>
                <w:sz w:val="22"/>
                <w:szCs w:val="22"/>
              </w:rPr>
              <w:t xml:space="preserve"> Completed training; Learning credential, Foundational level. </w:t>
            </w:r>
            <w:hyperlink w:history="1" r:id="rIdStable12">
              <w:r>
                <w:rPr>
                  <w:rStyle w:val="Hyperlink"/>
                  <w:rFonts w:ascii="Noto Sans" w:cs="Noto Sans" w:eastAsia="Noto Sans" w:hAnsi="Noto Sans"/>
                  <w:sz w:val="22"/>
                  <w:szCs w:val="22"/>
                </w:rPr>
                <w:t xml:space="preserve">Verification</w:t>
              </w:r>
            </w:hyperlink>
            <w:r>
              <w:rPr>
                <w:rFonts w:ascii="Noto Sans" w:cs="Noto Sans" w:eastAsia="Noto Sans" w:hAnsi="Noto Sans"/>
                <w:sz w:val="22"/>
                <w:szCs w:val="22"/>
              </w:rPr>
              <w:t xml:space="preserve">.</w:t>
            </w:r>
          </w:p>
          <w:p>
            <w:pPr>
              <w:spacing w:after="140" w:line="275"/>
              <w:ind w:left="0" w:right="0" w:firstLine="0"/>
            </w:pPr>
            <w:r>
              <w:rPr>
                <w:rFonts w:ascii="Noto Sans" w:cs="Noto Sans" w:eastAsia="Noto Sans" w:hAnsi="Noto Sans"/>
                <w:b/>
                <w:bCs/>
                <w:sz w:val="22"/>
                <w:szCs w:val="22"/>
              </w:rPr>
              <w:t xml:space="preserve">Big Data on AWS — Qwiklabs · 30 August 2015.</w:t>
            </w:r>
            <w:r>
              <w:rPr>
                <w:rFonts w:ascii="Noto Sans" w:cs="Noto Sans" w:eastAsia="Noto Sans" w:hAnsi="Noto Sans"/>
                <w:sz w:val="22"/>
                <w:szCs w:val="22"/>
              </w:rPr>
              <w:t xml:space="preserve"> Completed company-provided professional training. </w:t>
            </w:r>
            <w:hyperlink w:history="1" r:id="rIdStable13">
              <w:r>
                <w:rPr>
                  <w:rStyle w:val="Hyperlink"/>
                  <w:rFonts w:ascii="Noto Sans" w:cs="Noto Sans" w:eastAsia="Noto Sans" w:hAnsi="Noto Sans"/>
                  <w:sz w:val="22"/>
                  <w:szCs w:val="22"/>
                </w:rPr>
                <w:t xml:space="preserve">Verification</w:t>
              </w:r>
            </w:hyperlink>
            <w:r>
              <w:rPr>
                <w:rFonts w:ascii="Noto Sans" w:cs="Noto Sans" w:eastAsia="Noto Sans" w:hAnsi="Noto Sans"/>
                <w:sz w:val="22"/>
                <w:szCs w:val="22"/>
              </w:rPr>
              <w:t xml:space="preserve">.</w:t>
            </w:r>
          </w:p>
          <w:p>
            <w:pPr>
              <w:spacing w:after="140" w:line="275"/>
              <w:ind w:left="0" w:right="0" w:firstLine="0"/>
            </w:pPr>
            <w:r>
              <w:rPr>
                <w:rFonts w:ascii="Noto Sans" w:cs="Noto Sans" w:eastAsia="Noto Sans" w:hAnsi="Noto Sans"/>
                <w:b/>
                <w:bCs/>
                <w:sz w:val="22"/>
                <w:szCs w:val="22"/>
              </w:rPr>
              <w:t xml:space="preserve">Solutions Architect - Associate — Qwiklabs · 17 August 2015.</w:t>
            </w:r>
            <w:r>
              <w:rPr>
                <w:rFonts w:ascii="Noto Sans" w:cs="Noto Sans" w:eastAsia="Noto Sans" w:hAnsi="Noto Sans"/>
                <w:sz w:val="22"/>
                <w:szCs w:val="22"/>
              </w:rPr>
              <w:t xml:space="preserve"> Company-provided professional training; not an official AWS certification. </w:t>
            </w:r>
            <w:hyperlink w:history="1" r:id="rIdStable14">
              <w:r>
                <w:rPr>
                  <w:rStyle w:val="Hyperlink"/>
                  <w:rFonts w:ascii="Noto Sans" w:cs="Noto Sans" w:eastAsia="Noto Sans" w:hAnsi="Noto Sans"/>
                  <w:sz w:val="22"/>
                  <w:szCs w:val="22"/>
                </w:rPr>
                <w:t xml:space="preserve">Verification</w:t>
              </w:r>
            </w:hyperlink>
            <w:r>
              <w:rPr>
                <w:rFonts w:ascii="Noto Sans" w:cs="Noto Sans" w:eastAsia="Noto Sans" w:hAnsi="Noto Sans"/>
                <w:sz w:val="22"/>
                <w:szCs w:val="22"/>
              </w:rPr>
              <w:t xml:space="preserve">.</w:t>
            </w:r>
          </w:p>
        </w:tc>
        <w:tc>
          <w:tcPr>
            <w:tcW w:type="dxa" w:w="6830"/>
            <w:tcBorders>
              <w:top w:val="none" w:color="FFFFFF" w:sz="0"/>
              <w:left w:val="none" w:color="FFFFFF" w:sz="0"/>
              <w:bottom w:val="none" w:color="FFFFFF" w:sz="0"/>
              <w:right w:val="none" w:color="FFFFFF" w:sz="0"/>
            </w:tcBorders>
            <w:tcMar>
              <w:top w:type="dxa" w:w="140"/>
              <w:left w:type="dxa" w:w="180"/>
              <w:bottom w:type="dxa" w:w="140"/>
              <w:right w:type="dxa" w:w="180"/>
            </w:tcMar>
          </w:tcPr>
          <w:p>
            <w:pPr>
              <w:pStyle w:val="Heading2"/>
              <w:spacing w:before="120" w:after="160"/>
              <w:ind w:left="0" w:right="0" w:firstLine="0"/>
              <w:rPr>
                <w:b/>
                <w:bCs/>
                <w:color w:val="315D72"/>
              </w:rPr>
            </w:pPr>
            <w:r>
              <w:rPr>
                <w:rFonts w:ascii="Noto Sans" w:cs="Noto Sans" w:eastAsia="Noto Sans" w:hAnsi="Noto Sans"/>
                <w:b/>
                <w:bCs/>
                <w:color w:val="315D72"/>
                <w:sz w:val="22"/>
                <w:szCs w:val="22"/>
              </w:rPr>
              <w:t xml:space="preserve">EARLIER EXPERIENCE</w:t>
            </w:r>
          </w:p>
          <w:p>
            <w:pPr>
              <w:spacing w:after="140" w:line="275"/>
              <w:ind w:left="0" w:right="0" w:firstLine="0"/>
            </w:pPr>
            <w:r>
              <w:rPr>
                <w:rFonts w:ascii="Noto Sans" w:cs="Noto Sans" w:eastAsia="Noto Sans" w:hAnsi="Noto Sans"/>
                <w:b/>
                <w:bCs/>
                <w:sz w:val="22"/>
                <w:szCs w:val="22"/>
              </w:rPr>
              <w:t xml:space="preserve">BEEVA — now BBVA Technology · Big Data and Backend Developer</w:t>
            </w:r>
            <w:r>
              <w:rPr>
                <w:rFonts w:ascii="Noto Sans" w:cs="Noto Sans" w:eastAsia="Noto Sans" w:hAnsi="Noto Sans"/>
                <w:sz w:val="22"/>
                <w:szCs w:val="22"/>
              </w:rPr>
              <w:t xml:space="preserve"> November 2014–December 2019</w:t>
            </w:r>
          </w:p>
          <w:p>
            <w:pPr>
              <w:spacing w:after="140" w:line="275"/>
              <w:ind w:left="0" w:right="0" w:firstLine="0"/>
            </w:pPr>
            <w:r>
              <w:rPr>
                <w:rFonts w:ascii="Noto Sans" w:cs="Noto Sans" w:eastAsia="Noto Sans" w:hAnsi="Noto Sans"/>
                <w:sz w:val="22"/>
                <w:szCs w:val="22"/>
              </w:rPr>
              <w:t xml:space="preserve">Big Data architecture and development with Java and Scala. On Reporting Operacional, BBVA's internal observability and reporting platform for banking procedures, I contributed to the architecture and developed the service layer, ETL and analytics with Pig and Hadoop. I also contributed to proofs of concept for external clients, including Ferrovial.</w:t>
            </w:r>
          </w:p>
          <w:p>
            <w:pPr>
              <w:spacing w:after="140" w:line="275"/>
              <w:ind w:left="0" w:right="0" w:firstLine="0"/>
            </w:pPr>
            <w:r>
              <w:rPr>
                <w:rFonts w:ascii="Noto Sans" w:cs="Noto Sans" w:eastAsia="Noto Sans" w:hAnsi="Noto Sans"/>
                <w:sz w:val="22"/>
                <w:szCs w:val="22"/>
              </w:rPr>
              <w:t xml:space="preserve">BEEVA belonged to the BBVA group during this period; my career at the company has continued since November 2014.</w:t>
            </w:r>
          </w:p>
          <w:p>
            <w:pPr>
              <w:spacing w:after="140" w:line="275"/>
              <w:ind w:left="0" w:right="0" w:firstLine="0"/>
            </w:pPr>
            <w:r>
              <w:rPr>
                <w:rFonts w:ascii="Noto Sans" w:cs="Noto Sans" w:eastAsia="Noto Sans" w:hAnsi="Noto Sans"/>
                <w:b/>
                <w:bCs/>
                <w:sz w:val="22"/>
                <w:szCs w:val="22"/>
              </w:rPr>
              <w:t xml:space="preserve">Indra · Java Analyst Programmer</w:t>
            </w:r>
            <w:r>
              <w:rPr>
                <w:rFonts w:ascii="Noto Sans" w:cs="Noto Sans" w:eastAsia="Noto Sans" w:hAnsi="Noto Sans"/>
                <w:sz w:val="22"/>
                <w:szCs w:val="22"/>
              </w:rPr>
              <w:t xml:space="preserve"> April 2012–November 2014</w:t>
            </w:r>
          </w:p>
          <w:p>
            <w:pPr>
              <w:spacing w:after="140" w:line="275"/>
              <w:ind w:left="0" w:right="0" w:firstLine="0"/>
            </w:pPr>
            <w:r>
              <w:rPr>
                <w:rFonts w:ascii="Noto Sans" w:cs="Noto Sans" w:eastAsia="Noto Sans" w:hAnsi="Noto Sans"/>
                <w:sz w:val="22"/>
                <w:szCs w:val="22"/>
              </w:rPr>
              <w:t xml:space="preserve">Analysis, development and maintenance of web applications and backend services for Telefónica, mainly in Java, with Flex and Flash modules. Continuation of the assignment begun through Grupo Arelance after my direct hire by Indra.</w:t>
            </w:r>
          </w:p>
          <w:p>
            <w:pPr>
              <w:spacing w:after="140" w:line="275"/>
              <w:ind w:left="0" w:right="0" w:firstLine="0"/>
            </w:pPr>
            <w:r>
              <w:rPr>
                <w:rFonts w:ascii="Noto Sans" w:cs="Noto Sans" w:eastAsia="Noto Sans" w:hAnsi="Noto Sans"/>
                <w:b/>
                <w:bCs/>
                <w:sz w:val="22"/>
                <w:szCs w:val="22"/>
              </w:rPr>
              <w:t xml:space="preserve">Grupo Arelance · Java Programmer</w:t>
            </w:r>
            <w:r>
              <w:rPr>
                <w:rFonts w:ascii="Noto Sans" w:cs="Noto Sans" w:eastAsia="Noto Sans" w:hAnsi="Noto Sans"/>
                <w:sz w:val="22"/>
                <w:szCs w:val="22"/>
              </w:rPr>
              <w:t xml:space="preserve"> February 2010–April 2012</w:t>
            </w:r>
          </w:p>
          <w:p>
            <w:pPr>
              <w:spacing w:after="140" w:line="275"/>
              <w:ind w:left="0" w:right="0" w:firstLine="0"/>
            </w:pPr>
            <w:r>
              <w:rPr>
                <w:rFonts w:ascii="Noto Sans" w:cs="Noto Sans" w:eastAsia="Noto Sans" w:hAnsi="Noto Sans"/>
                <w:sz w:val="22"/>
                <w:szCs w:val="22"/>
              </w:rPr>
              <w:t xml:space="preserve">Assignment to Indra with Telefónica as the final client. Programming, requirements analysis and design on Java projects with Flex and Flash modules.</w:t>
            </w:r>
          </w:p>
          <w:p>
            <w:pPr>
              <w:spacing w:after="140" w:line="275"/>
              <w:ind w:left="0" w:right="0" w:firstLine="0"/>
            </w:pPr>
            <w:r>
              <w:rPr>
                <w:rFonts w:ascii="Noto Sans" w:cs="Noto Sans" w:eastAsia="Noto Sans" w:hAnsi="Noto Sans"/>
                <w:b/>
                <w:bCs/>
                <w:sz w:val="22"/>
                <w:szCs w:val="22"/>
              </w:rPr>
              <w:t xml:space="preserve">Efeso Consulting · Java and Flash Programmer and Systems Administrator</w:t>
            </w:r>
            <w:r>
              <w:rPr>
                <w:rFonts w:ascii="Noto Sans" w:cs="Noto Sans" w:eastAsia="Noto Sans" w:hAnsi="Noto Sans"/>
                <w:sz w:val="22"/>
                <w:szCs w:val="22"/>
              </w:rPr>
              <w:t xml:space="preserve"> 2008–2010</w:t>
            </w:r>
          </w:p>
          <w:p>
            <w:pPr>
              <w:spacing w:after="140" w:line="275"/>
              <w:ind w:left="0" w:right="0" w:firstLine="0"/>
            </w:pPr>
            <w:r>
              <w:rPr>
                <w:rFonts w:ascii="Noto Sans" w:cs="Noto Sans" w:eastAsia="Noto Sans" w:hAnsi="Noto Sans"/>
                <w:sz w:val="22"/>
                <w:szCs w:val="22"/>
              </w:rPr>
              <w:t xml:space="preserve">Java and Flash development; Linux system and Oracle database administration.</w:t>
            </w:r>
          </w:p>
          <w:p>
            <w:pPr>
              <w:pStyle w:val="Heading2"/>
              <w:spacing w:before="120" w:after="160"/>
              <w:ind w:left="0" w:right="0" w:firstLine="0"/>
              <w:rPr>
                <w:b/>
                <w:bCs/>
                <w:color w:val="315D72"/>
              </w:rPr>
            </w:pPr>
            <w:r>
              <w:rPr>
                <w:rFonts w:ascii="Noto Sans" w:cs="Noto Sans" w:eastAsia="Noto Sans" w:hAnsi="Noto Sans"/>
                <w:b/>
                <w:bCs/>
                <w:color w:val="315D72"/>
                <w:sz w:val="22"/>
                <w:szCs w:val="22"/>
              </w:rPr>
              <w:t xml:space="preserve">EDUCATION</w:t>
            </w:r>
          </w:p>
          <w:p>
            <w:pPr>
              <w:spacing w:after="140" w:line="275"/>
              <w:ind w:left="0" w:right="0" w:firstLine="0"/>
            </w:pPr>
            <w:r>
              <w:rPr>
                <w:rFonts w:ascii="Noto Sans" w:cs="Noto Sans" w:eastAsia="Noto Sans" w:hAnsi="Noto Sans"/>
                <w:sz w:val="22"/>
                <w:szCs w:val="22"/>
              </w:rPr>
              <w:t xml:space="preserve">I.E.S. Las Fuentezuelas — FP II, Software Application Development · 2005–2007.</w:t>
            </w:r>
          </w:p>
          <w:p>
            <w:pPr>
              <w:spacing w:after="140" w:line="275"/>
              <w:ind w:left="0" w:right="0" w:firstLine="0"/>
            </w:pPr>
            <w:r>
              <w:rPr>
                <w:rFonts w:ascii="Noto Sans" w:cs="Noto Sans" w:eastAsia="Noto Sans" w:hAnsi="Noto Sans"/>
                <w:sz w:val="22"/>
                <w:szCs w:val="22"/>
              </w:rPr>
              <w:t xml:space="preserve">IPFA Jaén — Science Baccalaureate · 2005–2006.</w:t>
            </w:r>
          </w:p>
          <w:p>
            <w:pPr>
              <w:pStyle w:val="Heading2"/>
              <w:spacing w:before="120" w:after="160"/>
              <w:ind w:left="0" w:right="0" w:firstLine="0"/>
              <w:rPr>
                <w:b/>
                <w:bCs/>
                <w:color w:val="315D72"/>
              </w:rPr>
            </w:pPr>
            <w:r>
              <w:rPr>
                <w:rFonts w:ascii="Noto Sans" w:cs="Noto Sans" w:eastAsia="Noto Sans" w:hAnsi="Noto Sans"/>
                <w:b/>
                <w:bCs/>
                <w:color w:val="315D72"/>
                <w:sz w:val="22"/>
                <w:szCs w:val="22"/>
              </w:rPr>
              <w:t xml:space="preserve">LANGUAGES</w:t>
            </w:r>
          </w:p>
          <w:p>
            <w:pPr>
              <w:spacing w:after="140" w:line="275"/>
              <w:ind w:left="0" w:right="0" w:firstLine="0"/>
            </w:pPr>
            <w:r>
              <w:rPr>
                <w:rFonts w:ascii="Noto Sans" w:cs="Noto Sans" w:eastAsia="Noto Sans" w:hAnsi="Noto Sans"/>
                <w:sz w:val="22"/>
                <w:szCs w:val="22"/>
              </w:rPr>
              <w:t xml:space="preserve">Spanish: native. English: professional working proficiency; comfortable conversation in professional contexts.</w:t>
            </w:r>
          </w:p>
        </w:tc>
      </w:tr>
    </w:tbl>
    <w:p>
      <w:pPr>
        <w:spacing w:after="0" w:line="265"/>
        <w:ind w:left="0" w:right="0" w:firstLine="0"/>
        <w:rPr>
          <w:sz w:val="21"/>
          <w:szCs w:val="21"/>
        </w:rPr>
      </w:pPr>
      <w:hyperlink w:history="1" r:id="rIdStable15">
        <w:r>
          <w:rPr>
            <w:rStyle w:val="Hyperlink"/>
            <w:rFonts w:ascii="Noto Sans" w:cs="Noto Sans" w:eastAsia="Noto Sans" w:hAnsi="Noto Sans"/>
            <w:sz w:val="21"/>
            <w:szCs w:val="21"/>
          </w:rPr>
          <w:t xml:space="preserve">https://joseluisillana.github.io/</w:t>
        </w:r>
      </w:hyperlink>
    </w:p>
    <w:sectPr>
      <w:pgSz w:w="11906" w:h="16838" w:orient="portrait"/>
      <w:pgMar w:top="907" w:right="907" w:bottom="907"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84" w:hanging="150"/>
      </w:pPr>
      <w:rPr>
        <w:rFonts w:ascii="Noto Sans" w:cs="Noto Sans" w:eastAsia="Noto Sans" w:hAnsi="Noto San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w:cs="Noto Sans" w:eastAsia="Noto Sans" w:hAnsi="Noto Sans"/>
        <w:sz w:val="22"/>
        <w:szCs w:val="22"/>
        <w:lang w:val="en-US"/>
      </w:rPr>
    </w:rPrDefault>
    <w:pPrDefault>
      <w:pPr>
        <w:spacing w:line="275"/>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Stable1" Type="http://schemas.openxmlformats.org/officeDocument/2006/relationships/styles" Target="styles.xml"/><Relationship Id="rIdStable2" Type="http://schemas.openxmlformats.org/officeDocument/2006/relationships/numbering" Target="numbering.xml"/><Relationship Id="rIdStable3" Type="http://schemas.openxmlformats.org/officeDocument/2006/relationships/footnotes" Target="footnotes.xml"/><Relationship Id="rIdStable4" Type="http://schemas.openxmlformats.org/officeDocument/2006/relationships/settings" Target="settings.xml"/><Relationship Id="rIdStable5" Type="http://schemas.openxmlformats.org/officeDocument/2006/relationships/comments" Target="comments.xml"/><Relationship Id="rIdStable6" Type="http://schemas.openxmlformats.org/officeDocument/2006/relationships/hyperlink" Target="mailto:joseluisillana@gmail.com" TargetMode="External"/><Relationship Id="rIdStable7" Type="http://schemas.openxmlformats.org/officeDocument/2006/relationships/hyperlink" Target="tel:+34625722980" TargetMode="External"/><Relationship Id="rIdStable8" Type="http://schemas.openxmlformats.org/officeDocument/2006/relationships/hyperlink" Target="https://www.linkedin.com/in/jose-luis-illana-ruiz-9446831b" TargetMode="External"/><Relationship Id="rIdStable9" Type="http://schemas.openxmlformats.org/officeDocument/2006/relationships/hyperlink" Target="https://github.com/joseluisillana" TargetMode="External"/><Relationship Id="rIdStable10" Type="http://schemas.openxmlformats.org/officeDocument/2006/relationships/hyperlink" Target="https://joseluisillana.github.io/" TargetMode="External"/><Relationship Id="rIdStable11" Type="http://schemas.openxmlformats.org/officeDocument/2006/relationships/hyperlink" Target="https://academy.openai.com/public/certificate/kqzb9iz7kf" TargetMode="External"/><Relationship Id="rIdStable12" Type="http://schemas.openxmlformats.org/officeDocument/2006/relationships/hyperlink" Target="https://www.credly.com/badges/0061c2f0-fb46-43b0-a03d-edfccbc898de" TargetMode="External"/><Relationship Id="rIdStable13" Type="http://schemas.openxmlformats.org/officeDocument/2006/relationships/hyperlink" Target="https://www.skills.google/public_profiles/390c5a9b-0a9d-489a-9a02-d14065b7eed4/badges/997" TargetMode="External"/><Relationship Id="rIdStable14" Type="http://schemas.openxmlformats.org/officeDocument/2006/relationships/hyperlink" Target="https://www.skills.google/public_profiles/390c5a9b-0a9d-489a-9a02-d14065b7eed4/badges/919" TargetMode="External"/><Relationship Id="rIdStable15" Type="http://schemas.openxmlformats.org/officeDocument/2006/relationships/hyperlink" Target="https://joseluisillana.github.io/" TargetMode="External"/><Relationship Id="rIdStable16" Type="http://schemas.openxmlformats.org/officeDocument/2006/relationships/image" Target="media/4bba1721376a61bad070a215ced72bf90797cf22.jpg"/><Relationship Id="rIdStable1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José Luis Illana Ruiz — CV</dc:title>
  <dc:creator>José Luis Illana Ruiz</dc:creator>
  <dc:description>Professional CV</dc:description>
  <cp:lastModifiedBy>Un-named</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