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2DE" w:rsidRPr="00B212DE" w:rsidRDefault="00B212DE" w:rsidP="00B212DE">
      <w:pPr>
        <w:shd w:val="clear" w:color="auto" w:fill="FFFFFF"/>
        <w:spacing w:before="100" w:beforeAutospacing="1" w:after="100" w:afterAutospacing="1" w:line="240" w:lineRule="auto"/>
        <w:ind w:left="708" w:hanging="708"/>
        <w:outlineLvl w:val="2"/>
        <w:rPr>
          <w:rFonts w:ascii="Arial" w:eastAsia="Times New Roman" w:hAnsi="Arial" w:cs="Arial"/>
          <w:b/>
          <w:bCs/>
          <w:color w:val="737373"/>
          <w:sz w:val="27"/>
          <w:szCs w:val="27"/>
          <w:lang w:eastAsia="es-MX"/>
        </w:rPr>
      </w:pPr>
      <w:r>
        <w:rPr>
          <w:rFonts w:ascii="Arial" w:eastAsia="Times New Roman" w:hAnsi="Arial" w:cs="Arial"/>
          <w:b/>
          <w:bCs/>
          <w:color w:val="737373"/>
          <w:sz w:val="27"/>
          <w:szCs w:val="27"/>
          <w:lang w:eastAsia="es-MX"/>
        </w:rPr>
        <w:t xml:space="preserve">Rubros del presupuesto (resalto en </w:t>
      </w:r>
      <w:r w:rsidRPr="00B212DE">
        <w:rPr>
          <w:rFonts w:ascii="Arial" w:eastAsia="Times New Roman" w:hAnsi="Arial" w:cs="Arial"/>
          <w:b/>
          <w:bCs/>
          <w:color w:val="737373"/>
          <w:sz w:val="27"/>
          <w:szCs w:val="27"/>
          <w:highlight w:val="yellow"/>
          <w:lang w:eastAsia="es-MX"/>
        </w:rPr>
        <w:t>amarillo</w:t>
      </w:r>
      <w:r>
        <w:rPr>
          <w:rFonts w:ascii="Arial" w:eastAsia="Times New Roman" w:hAnsi="Arial" w:cs="Arial"/>
          <w:b/>
          <w:bCs/>
          <w:color w:val="737373"/>
          <w:sz w:val="27"/>
          <w:szCs w:val="27"/>
          <w:lang w:eastAsia="es-MX"/>
        </w:rPr>
        <w:t xml:space="preserve"> los que puedan ser relevantes para nuestro proyecto)</w:t>
      </w:r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5" w:tooltip="administración de recursos institucionales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10.120administración de recursos institucionales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6" w:tooltip="apoyo administrativo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9.032apoyo administrativo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7" w:tooltip="gestión integral del riesgo en materia de protección civil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2.910gestión integral del riesgo en materia de protección civil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8" w:tooltip="servicio y ayuda de asistencia social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2.852servicio y ayuda de asistencia social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9" w:tooltip="mantenimiento, rehabilitación y conservación de imagen urbana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2.790mantenimiento, rehabilitación y conservación de imagen urbana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10" w:tooltip="mantenimiento, conservación y rehabilitación en vialidades secundarias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2.678mantenimiento, conservación y rehabilitación en vialidades secundarias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11" w:tooltip="mantenimiento de áreas verdes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2.508mantenimiento de áreas verdes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highlight w:val="yellow"/>
          <w:lang w:eastAsia="es-MX"/>
        </w:rPr>
      </w:pPr>
      <w:hyperlink r:id="rId12" w:tooltip="alumbrado público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highlight w:val="yellow"/>
            <w:lang w:eastAsia="es-MX"/>
          </w:rPr>
          <w:t>2.446alumbrado público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13" w:tooltip="recolección de residuos sólidos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2.140recolección de residuos sólidos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14" w:tooltip="fomento de actividades deportivas y recreativas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2.124fomento de actividades deportivas y recreativas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15" w:tooltip="mantenimiento, conservación y rehabilitación a edificios públicos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2.080mantenimiento, conservación y rehabilitación a edificios públicos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16" w:tooltip="promoción de actividades culturales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2.066promoción de actividades culturales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17" w:tooltip="mantenimiento, conservación y rehabilitación de infraestructura de agua potable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2.062mantenimiento, conservación y rehabilitación de infraestructura de agua potable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18" w:tooltip="mantenimiento, conservación y rehabilitación al sistema de drenaje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1.976mantenimiento, conservación y rehabilitación al sistema de drenaje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19" w:tooltip="operación de centros de desarrollo infantil en delegaciones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1.642operación de centros de desarrollo infantil en delegaciones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20" w:tooltip="reordenamiento de la vía pública con enfoque de desarrollo económico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1.454reordenamiento de la vía pública con enfoque de desarrollo económico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21" w:tooltip="apoyo a la prevención del delito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1.3</w:t>
        </w:r>
        <w:r w:rsidRPr="00B212DE">
          <w:rPr>
            <w:rFonts w:ascii="Arial" w:eastAsia="Times New Roman" w:hAnsi="Arial" w:cs="Arial"/>
            <w:color w:val="737373"/>
            <w:sz w:val="21"/>
            <w:szCs w:val="21"/>
            <w:highlight w:val="yellow"/>
            <w:lang w:eastAsia="es-MX"/>
          </w:rPr>
          <w:t>96apoyo a la prevención del delito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22" w:tooltip="mantenimiento, conservación y rehabilitación de infraestructura educativa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1.166mantenimiento, conservación y rehabilitación de infraestructura educativa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23" w:tooltip="mantenimiento, conservación y rehabilitación de espacios deportivos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1.162mantenimiento, conservación y rehabilitación de espacios deportivos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24" w:tooltip="apoyo a la salud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1.116apoyo a la salud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25" w:tooltip="servicios legales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1.07</w:t>
        </w:r>
        <w:r w:rsidRPr="00B212DE">
          <w:rPr>
            <w:rFonts w:ascii="Arial" w:eastAsia="Times New Roman" w:hAnsi="Arial" w:cs="Arial"/>
            <w:color w:val="737373"/>
            <w:sz w:val="21"/>
            <w:szCs w:val="21"/>
            <w:highlight w:val="yellow"/>
            <w:lang w:eastAsia="es-MX"/>
          </w:rPr>
          <w:t>8servicios legales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26" w:tooltip="coordinación de políticas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1.006coordinación de políticas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27" w:tooltip="mantenimiento, conservación y rehabilitación de infraestructura comercial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1.006mantenimiento, conservación y rehabilitación de infraestructura comercial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28" w:tooltip="mantenimiento, conservación y rehabilitación de banquetas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960mantenimiento, conservación y rehabilitación de banquetas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29" w:tooltip="mantenimiento, conservación y rehabilitación para unidades habitacionales y vivienda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954mantenimiento, conservación y rehabilitación para unidades habitacionales y vivienda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30" w:tooltip="atención médica de carácter general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942atención médica de carácter general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31" w:tooltip="balizamiento en vialidades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904balizamiento en vialidades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32" w:tooltip="mantenimiento, conservación y rehabilitación de infraestructura de desarrollo social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898mantenimiento, conservación y rehabilitación de infraestructura de desarrollo social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33" w:tooltip="servicios complementarios de apoyo social a adultos mayores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874servicios complementarios de apoyo social a adultos mayores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34" w:tooltip="atención médica hospitalaria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848atención médica hospitalaria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35" w:tooltip="conservación de la imagen urbana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790conservación de la imagen urbana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36" w:tooltip="integrar carpetas de investigación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754integrar carpetas de investigación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37" w:tooltip="operación de panteones públicos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752operación de panteones públicos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38" w:tooltip="servicios informáticos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718servicios informáticos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39" w:tooltip="acciones en pro de la igualdad de género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716acciones en pro de la igualdad de género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40" w:tooltip="atención a adultos recluidos en centros penitenciarios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714atención a adultos recluidos en centros penitenciarios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41" w:tooltip="servicio de poda de árboles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706servicio de poda de árboles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42" w:tooltip="servicios complementarios de apoyo a personas con discapacidad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698servicios complementarios de apoyo a personas con discapacidad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43" w:tooltip="operación del sistema de agua potable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664operación del sistema de agua potable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44" w:tooltip="operación del sistema de drenaje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640operación del sistema de drenaje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45" w:tooltip="mantenimiento, conservación y rehabilitación de infraestructura cultural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624mantenimiento, conservación y rehabilitación de infraestructura cultural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46" w:tooltip="fomento al empleo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62</w:t>
        </w:r>
        <w:r w:rsidRPr="00B212DE">
          <w:rPr>
            <w:rFonts w:ascii="Arial" w:eastAsia="Times New Roman" w:hAnsi="Arial" w:cs="Arial"/>
            <w:color w:val="737373"/>
            <w:sz w:val="21"/>
            <w:szCs w:val="21"/>
            <w:highlight w:val="yellow"/>
            <w:lang w:eastAsia="es-MX"/>
          </w:rPr>
          <w:t>0fomento al empleo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47" w:tooltip="formación y especialización para la igualdad de género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 xml:space="preserve">616formación y </w:t>
        </w:r>
        <w:bookmarkStart w:id="0" w:name="_GoBack"/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especialización para la igualdad de género</w:t>
        </w:r>
        <w:bookmarkEnd w:id="0"/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48" w:tooltip="sanidad animal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602sanidad animal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49" w:tooltip="apoyo jurídico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5</w:t>
        </w:r>
        <w:r w:rsidRPr="00B212DE">
          <w:rPr>
            <w:rFonts w:ascii="Arial" w:eastAsia="Times New Roman" w:hAnsi="Arial" w:cs="Arial"/>
            <w:color w:val="737373"/>
            <w:sz w:val="21"/>
            <w:szCs w:val="21"/>
            <w:highlight w:val="yellow"/>
            <w:lang w:eastAsia="es-MX"/>
          </w:rPr>
          <w:t>92apoyo jurídico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50" w:tooltip="desazolve de la red del sistema de drenaje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590desazolve de la red del sistema de drenaje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51" w:tooltip="fomento agropecuario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588fomento agropecuario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52" w:tooltip="desarrollo de la planeación urbana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576desarrollo de la planeación urbana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53" w:tooltip="sistema de orientación y quejas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568sistema de orientación y quejas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54" w:tooltip="coordinación y seguimiento de políticas sectoriales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564coordinación y seguimiento de políticas sectoriales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55" w:tooltip="construcción y ampliación de infraestructura de desarrollo social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532construcción y ampliación de infraestructura de desarrollo social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56" w:tooltip="operación de los bosques urbanos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528operación de los bosques urbanos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57" w:tooltip="mantenimiento de infraestructura del agua potable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526mantenimiento de infraestructura del agua potable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58" w:tooltip="mantenimiento de infraestructura del sistema de drenaje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526mantenimiento de infraestructura del sistema de drenaje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59" w:tooltip="mantenimiento de infraestructura vial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514mantenimiento de infraestructura vial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60" w:tooltip="apoyo a la juventud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506apoyo a la juventud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61" w:tooltip="capacitación y actualización a servidores públicos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502capacitación y actualización a servidores públicos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62" w:tooltip="fomento turístico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496fomento turístico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63" w:tooltip="producción de mezcla asfáltica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490producción de mezcla asfáltica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64" w:tooltip="mejoramiento de la imagen urbana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488mejoramiento de la imagen urbana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65" w:tooltip="planeación y diseño de programas y acciones en pro de la igualdad de género (políticas públicas)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478planeación y diseño de programas y acciones en pro de la igualdad de género (políticas públicas)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66" w:tooltip="servicios complementarios de protección y vigilancia especializada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474servicios complementarios de protección y vigilancia especializada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67" w:tooltip="desarrollo y fomento económico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468desarrollo y fomento económico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68" w:tooltip="gestión para la recuperación y conservación del centro histórico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460gestión para la recuperación y conservación del centro histórico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69" w:tooltip="ampliación, operación y mantenimiento del alumbrado público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444ampliación, operación y mantenimiento del alumbrado público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70" w:tooltip="auxilio en incendios y siniestros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444auxilio en incendios y siniestros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71" w:tooltip="acciones para la regulación del transporte particular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442acciones para la regulación del transporte particular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72" w:tooltip="apoyo a mypes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 xml:space="preserve">440apoyo a </w:t>
        </w:r>
        <w:proofErr w:type="spellStart"/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mypes</w:t>
        </w:r>
        <w:proofErr w:type="spellEnd"/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73" w:tooltip="proyectos estratégicos de desarrollo y fomento económico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438proyectos estratégicos de desarrollo y fomento económico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74" w:tooltip="acciones para la regulación del servicio de transporte individual de pasajeros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436acciones para la regulación del servicio de transporte individual de pasajeros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75" w:tooltip="servicio de expedición de licencias y permisos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436servicio de expedición de licencias y permisos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76" w:tooltip="manejo integral de residuos sólidos urbanos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434manejo integral de residuos sólidos urbanos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77" w:tooltip="acciones para la regulación de transporte público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432acciones para la regulación de transporte público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78" w:tooltip="mantenimiento de carpeta asfáltica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428mantenimiento de carpeta asfáltica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79" w:tooltip="protección y vigilancia con proximidad a la ciudadanía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428protección y vigilancia con proximidad a la ciudadanía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80" w:tooltip="capacitación para y en el trabajo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426capacitación para y en el trabajo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81" w:tooltip="acciones de planeación, evaluación y control vial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424acciones de planeación, evaluación y control vial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82" w:tooltip="acciones jurídicas en materia de transportes y vialidad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424acciones jurídicas en materia de transportes y vialidad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83" w:tooltip="construcción de infraestructura para el transporte público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424construcción de infraestructura para el transporte público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84" w:tooltip="formación policial básica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424</w:t>
        </w:r>
        <w:r w:rsidRPr="00B212DE">
          <w:rPr>
            <w:rFonts w:ascii="Arial" w:eastAsia="Times New Roman" w:hAnsi="Arial" w:cs="Arial"/>
            <w:color w:val="737373"/>
            <w:sz w:val="21"/>
            <w:szCs w:val="21"/>
            <w:highlight w:val="yellow"/>
            <w:lang w:eastAsia="es-MX"/>
          </w:rPr>
          <w:t>formación policial básica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85" w:tooltip="promoción del desarrollo de la mujer microempresaria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424promoción del desarrollo de la mujer microempresaria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86" w:tooltip="conducción de la política interna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418conducción de la política interna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87" w:tooltip="monitoreo atmosférico y calidad del aire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418monitoreo atmosférico y calidad del aire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88" w:tooltip="acciones de capacitación para el transporte individual de pasajeros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416acciones de capacitación para el transporte individual de pasajeros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89" w:tooltip="acciones enfocadas al registro público del transporte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416acciones enfocadas al registro público del transporte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90" w:tooltip="operación de zoológicos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416operación de zoológicos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91" w:tooltip="operación de la infraestructura informática para el control vehicular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410operación de la infraestructura informática para el control vehicular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92" w:tooltip="promoción del uso de herramientas tecnológicas para el desarrollo social y económico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408promoción del uso de herramientas tecnológicas para el desarrollo social y económico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93" w:tooltip="atención estructural a taludes, minas y grietas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404atención estructural a taludes, minas y grietas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94" w:tooltip="fomento de abasto para la ciudad de méxico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 xml:space="preserve">394fomento de abasto para la ciudad de </w:t>
        </w:r>
        <w:proofErr w:type="spellStart"/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méxico</w:t>
        </w:r>
        <w:proofErr w:type="spellEnd"/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95" w:tooltip="operación del sistema de corredores del metrobús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 xml:space="preserve">394operación del sistema de corredores del </w:t>
        </w:r>
        <w:proofErr w:type="spellStart"/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metrobús</w:t>
        </w:r>
        <w:proofErr w:type="spellEnd"/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96" w:tooltip="coordinación de la comisión interdependencial para el fomento y promoción del desarrollo económico de la ciudad de méxico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 xml:space="preserve">388coordinación de la comisión </w:t>
        </w:r>
        <w:proofErr w:type="spellStart"/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interdependencial</w:t>
        </w:r>
        <w:proofErr w:type="spellEnd"/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 xml:space="preserve"> para el fomento y promoción del desarrollo económico de la ciudad de </w:t>
        </w:r>
        <w:proofErr w:type="spellStart"/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méxico</w:t>
        </w:r>
        <w:proofErr w:type="spellEnd"/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97" w:tooltip="integración y análisis de información económica para la toma de decisiones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388integración y análisis de información económica para la toma de decisiones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98" w:tooltip="acciones de apoyo para el desarrollo social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386acciones de apoyo para el desarrollo social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99" w:tooltip="desarrollo y fomento del transporte público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386desarrollo y fomento del transporte público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highlight w:val="yellow"/>
          <w:lang w:eastAsia="es-MX"/>
        </w:rPr>
      </w:pPr>
      <w:hyperlink r:id="rId100" w:tooltip="operación del tránsito y apoyo vial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highlight w:val="yellow"/>
            <w:lang w:eastAsia="es-MX"/>
          </w:rPr>
          <w:t>386operación del tránsito y apoyo vial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101" w:tooltip="prevención en materia de protección civil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386prevención en materia de protección civil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102" w:tooltip="acceso a la justicia para las mujeres víctimas de violencia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384acceso a la justicia para las mujeres víctimas de violencia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103" w:tooltip="acciones para la regulación de concesiones de transporte escolar, de personal y especializado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lang w:eastAsia="es-MX"/>
          </w:rPr>
          <w:t>384acciones para la regulación de concesiones de transporte escolar, de personal y especializado</w:t>
        </w:r>
      </w:hyperlink>
    </w:p>
    <w:p w:rsidR="00B212DE" w:rsidRPr="00B212DE" w:rsidRDefault="00B212DE" w:rsidP="00B2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Segoe UI"/>
          <w:color w:val="737373"/>
          <w:sz w:val="21"/>
          <w:szCs w:val="21"/>
          <w:lang w:eastAsia="es-MX"/>
        </w:rPr>
      </w:pPr>
      <w:hyperlink r:id="rId104" w:tooltip="acciones para la regulación de transporte de carga" w:history="1">
        <w:r w:rsidRPr="00B212DE">
          <w:rPr>
            <w:rFonts w:ascii="Arial" w:eastAsia="Times New Roman" w:hAnsi="Arial" w:cs="Arial"/>
            <w:color w:val="737373"/>
            <w:sz w:val="21"/>
            <w:szCs w:val="21"/>
            <w:bdr w:val="none" w:sz="0" w:space="0" w:color="auto" w:frame="1"/>
            <w:lang w:eastAsia="es-MX"/>
          </w:rPr>
          <w:t>384acciones para la regulación de transporte de carga</w:t>
        </w:r>
      </w:hyperlink>
    </w:p>
    <w:p w:rsidR="00CC0F6B" w:rsidRDefault="00CC0F6B"/>
    <w:sectPr w:rsidR="00CC0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50CFC"/>
    <w:multiLevelType w:val="multilevel"/>
    <w:tmpl w:val="AF7A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DE"/>
    <w:rsid w:val="00B212DE"/>
    <w:rsid w:val="00CC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6993"/>
  <w15:chartTrackingRefBased/>
  <w15:docId w15:val="{51C40481-D19A-44AB-9102-56ABAD60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212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dswidget-facetcategory-count">
    <w:name w:val="odswidget-facet__category-count"/>
    <w:basedOn w:val="Fuentedeprrafopredeter"/>
    <w:rsid w:val="00B212DE"/>
  </w:style>
  <w:style w:type="character" w:customStyle="1" w:styleId="odswidget-facetcategory-name">
    <w:name w:val="odswidget-facet__category-name"/>
    <w:basedOn w:val="Fuentedeprrafopredeter"/>
    <w:rsid w:val="00B212DE"/>
  </w:style>
  <w:style w:type="character" w:customStyle="1" w:styleId="Ttulo3Car">
    <w:name w:val="Título 3 Car"/>
    <w:basedOn w:val="Fuentedeprrafopredeter"/>
    <w:link w:val="Ttulo3"/>
    <w:uiPriority w:val="9"/>
    <w:rsid w:val="00B212D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odswidget-facetcategory-container">
    <w:name w:val="odswidget-facet__category-container"/>
    <w:basedOn w:val="Normal"/>
    <w:rsid w:val="00B21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atos.cdmx.gob.mx/explore/dataset/presupuesto-de-egresos/" TargetMode="External"/><Relationship Id="rId21" Type="http://schemas.openxmlformats.org/officeDocument/2006/relationships/hyperlink" Target="https://datos.cdmx.gob.mx/explore/dataset/presupuesto-de-egresos/" TargetMode="External"/><Relationship Id="rId42" Type="http://schemas.openxmlformats.org/officeDocument/2006/relationships/hyperlink" Target="https://datos.cdmx.gob.mx/explore/dataset/presupuesto-de-egresos/" TargetMode="External"/><Relationship Id="rId47" Type="http://schemas.openxmlformats.org/officeDocument/2006/relationships/hyperlink" Target="https://datos.cdmx.gob.mx/explore/dataset/presupuesto-de-egresos/" TargetMode="External"/><Relationship Id="rId63" Type="http://schemas.openxmlformats.org/officeDocument/2006/relationships/hyperlink" Target="https://datos.cdmx.gob.mx/explore/dataset/presupuesto-de-egresos/" TargetMode="External"/><Relationship Id="rId68" Type="http://schemas.openxmlformats.org/officeDocument/2006/relationships/hyperlink" Target="https://datos.cdmx.gob.mx/explore/dataset/presupuesto-de-egresos/" TargetMode="External"/><Relationship Id="rId84" Type="http://schemas.openxmlformats.org/officeDocument/2006/relationships/hyperlink" Target="https://datos.cdmx.gob.mx/explore/dataset/presupuesto-de-egresos/" TargetMode="External"/><Relationship Id="rId89" Type="http://schemas.openxmlformats.org/officeDocument/2006/relationships/hyperlink" Target="https://datos.cdmx.gob.mx/explore/dataset/presupuesto-de-egresos/" TargetMode="External"/><Relationship Id="rId16" Type="http://schemas.openxmlformats.org/officeDocument/2006/relationships/hyperlink" Target="https://datos.cdmx.gob.mx/explore/dataset/presupuesto-de-egresos/" TargetMode="External"/><Relationship Id="rId11" Type="http://schemas.openxmlformats.org/officeDocument/2006/relationships/hyperlink" Target="https://datos.cdmx.gob.mx/explore/dataset/presupuesto-de-egresos/" TargetMode="External"/><Relationship Id="rId32" Type="http://schemas.openxmlformats.org/officeDocument/2006/relationships/hyperlink" Target="https://datos.cdmx.gob.mx/explore/dataset/presupuesto-de-egresos/" TargetMode="External"/><Relationship Id="rId37" Type="http://schemas.openxmlformats.org/officeDocument/2006/relationships/hyperlink" Target="https://datos.cdmx.gob.mx/explore/dataset/presupuesto-de-egresos/" TargetMode="External"/><Relationship Id="rId53" Type="http://schemas.openxmlformats.org/officeDocument/2006/relationships/hyperlink" Target="https://datos.cdmx.gob.mx/explore/dataset/presupuesto-de-egresos/" TargetMode="External"/><Relationship Id="rId58" Type="http://schemas.openxmlformats.org/officeDocument/2006/relationships/hyperlink" Target="https://datos.cdmx.gob.mx/explore/dataset/presupuesto-de-egresos/" TargetMode="External"/><Relationship Id="rId74" Type="http://schemas.openxmlformats.org/officeDocument/2006/relationships/hyperlink" Target="https://datos.cdmx.gob.mx/explore/dataset/presupuesto-de-egresos/" TargetMode="External"/><Relationship Id="rId79" Type="http://schemas.openxmlformats.org/officeDocument/2006/relationships/hyperlink" Target="https://datos.cdmx.gob.mx/explore/dataset/presupuesto-de-egresos/" TargetMode="External"/><Relationship Id="rId102" Type="http://schemas.openxmlformats.org/officeDocument/2006/relationships/hyperlink" Target="https://datos.cdmx.gob.mx/explore/dataset/presupuesto-de-egresos/" TargetMode="External"/><Relationship Id="rId5" Type="http://schemas.openxmlformats.org/officeDocument/2006/relationships/hyperlink" Target="https://datos.cdmx.gob.mx/explore/dataset/presupuesto-de-egresos/" TargetMode="External"/><Relationship Id="rId90" Type="http://schemas.openxmlformats.org/officeDocument/2006/relationships/hyperlink" Target="https://datos.cdmx.gob.mx/explore/dataset/presupuesto-de-egresos/" TargetMode="External"/><Relationship Id="rId95" Type="http://schemas.openxmlformats.org/officeDocument/2006/relationships/hyperlink" Target="https://datos.cdmx.gob.mx/explore/dataset/presupuesto-de-egresos/" TargetMode="External"/><Relationship Id="rId22" Type="http://schemas.openxmlformats.org/officeDocument/2006/relationships/hyperlink" Target="https://datos.cdmx.gob.mx/explore/dataset/presupuesto-de-egresos/" TargetMode="External"/><Relationship Id="rId27" Type="http://schemas.openxmlformats.org/officeDocument/2006/relationships/hyperlink" Target="https://datos.cdmx.gob.mx/explore/dataset/presupuesto-de-egresos/" TargetMode="External"/><Relationship Id="rId43" Type="http://schemas.openxmlformats.org/officeDocument/2006/relationships/hyperlink" Target="https://datos.cdmx.gob.mx/explore/dataset/presupuesto-de-egresos/" TargetMode="External"/><Relationship Id="rId48" Type="http://schemas.openxmlformats.org/officeDocument/2006/relationships/hyperlink" Target="https://datos.cdmx.gob.mx/explore/dataset/presupuesto-de-egresos/" TargetMode="External"/><Relationship Id="rId64" Type="http://schemas.openxmlformats.org/officeDocument/2006/relationships/hyperlink" Target="https://datos.cdmx.gob.mx/explore/dataset/presupuesto-de-egresos/" TargetMode="External"/><Relationship Id="rId69" Type="http://schemas.openxmlformats.org/officeDocument/2006/relationships/hyperlink" Target="https://datos.cdmx.gob.mx/explore/dataset/presupuesto-de-egresos/" TargetMode="External"/><Relationship Id="rId80" Type="http://schemas.openxmlformats.org/officeDocument/2006/relationships/hyperlink" Target="https://datos.cdmx.gob.mx/explore/dataset/presupuesto-de-egresos/" TargetMode="External"/><Relationship Id="rId85" Type="http://schemas.openxmlformats.org/officeDocument/2006/relationships/hyperlink" Target="https://datos.cdmx.gob.mx/explore/dataset/presupuesto-de-egresos/" TargetMode="External"/><Relationship Id="rId12" Type="http://schemas.openxmlformats.org/officeDocument/2006/relationships/hyperlink" Target="https://datos.cdmx.gob.mx/explore/dataset/presupuesto-de-egresos/" TargetMode="External"/><Relationship Id="rId17" Type="http://schemas.openxmlformats.org/officeDocument/2006/relationships/hyperlink" Target="https://datos.cdmx.gob.mx/explore/dataset/presupuesto-de-egresos/" TargetMode="External"/><Relationship Id="rId33" Type="http://schemas.openxmlformats.org/officeDocument/2006/relationships/hyperlink" Target="https://datos.cdmx.gob.mx/explore/dataset/presupuesto-de-egresos/" TargetMode="External"/><Relationship Id="rId38" Type="http://schemas.openxmlformats.org/officeDocument/2006/relationships/hyperlink" Target="https://datos.cdmx.gob.mx/explore/dataset/presupuesto-de-egresos/" TargetMode="External"/><Relationship Id="rId59" Type="http://schemas.openxmlformats.org/officeDocument/2006/relationships/hyperlink" Target="https://datos.cdmx.gob.mx/explore/dataset/presupuesto-de-egresos/" TargetMode="External"/><Relationship Id="rId103" Type="http://schemas.openxmlformats.org/officeDocument/2006/relationships/hyperlink" Target="https://datos.cdmx.gob.mx/explore/dataset/presupuesto-de-egresos/" TargetMode="External"/><Relationship Id="rId20" Type="http://schemas.openxmlformats.org/officeDocument/2006/relationships/hyperlink" Target="https://datos.cdmx.gob.mx/explore/dataset/presupuesto-de-egresos/" TargetMode="External"/><Relationship Id="rId41" Type="http://schemas.openxmlformats.org/officeDocument/2006/relationships/hyperlink" Target="https://datos.cdmx.gob.mx/explore/dataset/presupuesto-de-egresos/" TargetMode="External"/><Relationship Id="rId54" Type="http://schemas.openxmlformats.org/officeDocument/2006/relationships/hyperlink" Target="https://datos.cdmx.gob.mx/explore/dataset/presupuesto-de-egresos/" TargetMode="External"/><Relationship Id="rId62" Type="http://schemas.openxmlformats.org/officeDocument/2006/relationships/hyperlink" Target="https://datos.cdmx.gob.mx/explore/dataset/presupuesto-de-egresos/" TargetMode="External"/><Relationship Id="rId70" Type="http://schemas.openxmlformats.org/officeDocument/2006/relationships/hyperlink" Target="https://datos.cdmx.gob.mx/explore/dataset/presupuesto-de-egresos/" TargetMode="External"/><Relationship Id="rId75" Type="http://schemas.openxmlformats.org/officeDocument/2006/relationships/hyperlink" Target="https://datos.cdmx.gob.mx/explore/dataset/presupuesto-de-egresos/" TargetMode="External"/><Relationship Id="rId83" Type="http://schemas.openxmlformats.org/officeDocument/2006/relationships/hyperlink" Target="https://datos.cdmx.gob.mx/explore/dataset/presupuesto-de-egresos/" TargetMode="External"/><Relationship Id="rId88" Type="http://schemas.openxmlformats.org/officeDocument/2006/relationships/hyperlink" Target="https://datos.cdmx.gob.mx/explore/dataset/presupuesto-de-egresos/" TargetMode="External"/><Relationship Id="rId91" Type="http://schemas.openxmlformats.org/officeDocument/2006/relationships/hyperlink" Target="https://datos.cdmx.gob.mx/explore/dataset/presupuesto-de-egresos/" TargetMode="External"/><Relationship Id="rId96" Type="http://schemas.openxmlformats.org/officeDocument/2006/relationships/hyperlink" Target="https://datos.cdmx.gob.mx/explore/dataset/presupuesto-de-egreso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os.cdmx.gob.mx/explore/dataset/presupuesto-de-egresos/" TargetMode="External"/><Relationship Id="rId15" Type="http://schemas.openxmlformats.org/officeDocument/2006/relationships/hyperlink" Target="https://datos.cdmx.gob.mx/explore/dataset/presupuesto-de-egresos/" TargetMode="External"/><Relationship Id="rId23" Type="http://schemas.openxmlformats.org/officeDocument/2006/relationships/hyperlink" Target="https://datos.cdmx.gob.mx/explore/dataset/presupuesto-de-egresos/" TargetMode="External"/><Relationship Id="rId28" Type="http://schemas.openxmlformats.org/officeDocument/2006/relationships/hyperlink" Target="https://datos.cdmx.gob.mx/explore/dataset/presupuesto-de-egresos/" TargetMode="External"/><Relationship Id="rId36" Type="http://schemas.openxmlformats.org/officeDocument/2006/relationships/hyperlink" Target="https://datos.cdmx.gob.mx/explore/dataset/presupuesto-de-egresos/" TargetMode="External"/><Relationship Id="rId49" Type="http://schemas.openxmlformats.org/officeDocument/2006/relationships/hyperlink" Target="https://datos.cdmx.gob.mx/explore/dataset/presupuesto-de-egresos/" TargetMode="External"/><Relationship Id="rId57" Type="http://schemas.openxmlformats.org/officeDocument/2006/relationships/hyperlink" Target="https://datos.cdmx.gob.mx/explore/dataset/presupuesto-de-egresos/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datos.cdmx.gob.mx/explore/dataset/presupuesto-de-egresos/" TargetMode="External"/><Relationship Id="rId31" Type="http://schemas.openxmlformats.org/officeDocument/2006/relationships/hyperlink" Target="https://datos.cdmx.gob.mx/explore/dataset/presupuesto-de-egresos/" TargetMode="External"/><Relationship Id="rId44" Type="http://schemas.openxmlformats.org/officeDocument/2006/relationships/hyperlink" Target="https://datos.cdmx.gob.mx/explore/dataset/presupuesto-de-egresos/" TargetMode="External"/><Relationship Id="rId52" Type="http://schemas.openxmlformats.org/officeDocument/2006/relationships/hyperlink" Target="https://datos.cdmx.gob.mx/explore/dataset/presupuesto-de-egresos/" TargetMode="External"/><Relationship Id="rId60" Type="http://schemas.openxmlformats.org/officeDocument/2006/relationships/hyperlink" Target="https://datos.cdmx.gob.mx/explore/dataset/presupuesto-de-egresos/" TargetMode="External"/><Relationship Id="rId65" Type="http://schemas.openxmlformats.org/officeDocument/2006/relationships/hyperlink" Target="https://datos.cdmx.gob.mx/explore/dataset/presupuesto-de-egresos/" TargetMode="External"/><Relationship Id="rId73" Type="http://schemas.openxmlformats.org/officeDocument/2006/relationships/hyperlink" Target="https://datos.cdmx.gob.mx/explore/dataset/presupuesto-de-egresos/" TargetMode="External"/><Relationship Id="rId78" Type="http://schemas.openxmlformats.org/officeDocument/2006/relationships/hyperlink" Target="https://datos.cdmx.gob.mx/explore/dataset/presupuesto-de-egresos/" TargetMode="External"/><Relationship Id="rId81" Type="http://schemas.openxmlformats.org/officeDocument/2006/relationships/hyperlink" Target="https://datos.cdmx.gob.mx/explore/dataset/presupuesto-de-egresos/" TargetMode="External"/><Relationship Id="rId86" Type="http://schemas.openxmlformats.org/officeDocument/2006/relationships/hyperlink" Target="https://datos.cdmx.gob.mx/explore/dataset/presupuesto-de-egresos/" TargetMode="External"/><Relationship Id="rId94" Type="http://schemas.openxmlformats.org/officeDocument/2006/relationships/hyperlink" Target="https://datos.cdmx.gob.mx/explore/dataset/presupuesto-de-egresos/" TargetMode="External"/><Relationship Id="rId99" Type="http://schemas.openxmlformats.org/officeDocument/2006/relationships/hyperlink" Target="https://datos.cdmx.gob.mx/explore/dataset/presupuesto-de-egresos/" TargetMode="External"/><Relationship Id="rId101" Type="http://schemas.openxmlformats.org/officeDocument/2006/relationships/hyperlink" Target="https://datos.cdmx.gob.mx/explore/dataset/presupuesto-de-egres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os.cdmx.gob.mx/explore/dataset/presupuesto-de-egresos/" TargetMode="External"/><Relationship Id="rId13" Type="http://schemas.openxmlformats.org/officeDocument/2006/relationships/hyperlink" Target="https://datos.cdmx.gob.mx/explore/dataset/presupuesto-de-egresos/" TargetMode="External"/><Relationship Id="rId18" Type="http://schemas.openxmlformats.org/officeDocument/2006/relationships/hyperlink" Target="https://datos.cdmx.gob.mx/explore/dataset/presupuesto-de-egresos/" TargetMode="External"/><Relationship Id="rId39" Type="http://schemas.openxmlformats.org/officeDocument/2006/relationships/hyperlink" Target="https://datos.cdmx.gob.mx/explore/dataset/presupuesto-de-egresos/" TargetMode="External"/><Relationship Id="rId34" Type="http://schemas.openxmlformats.org/officeDocument/2006/relationships/hyperlink" Target="https://datos.cdmx.gob.mx/explore/dataset/presupuesto-de-egresos/" TargetMode="External"/><Relationship Id="rId50" Type="http://schemas.openxmlformats.org/officeDocument/2006/relationships/hyperlink" Target="https://datos.cdmx.gob.mx/explore/dataset/presupuesto-de-egresos/" TargetMode="External"/><Relationship Id="rId55" Type="http://schemas.openxmlformats.org/officeDocument/2006/relationships/hyperlink" Target="https://datos.cdmx.gob.mx/explore/dataset/presupuesto-de-egresos/" TargetMode="External"/><Relationship Id="rId76" Type="http://schemas.openxmlformats.org/officeDocument/2006/relationships/hyperlink" Target="https://datos.cdmx.gob.mx/explore/dataset/presupuesto-de-egresos/" TargetMode="External"/><Relationship Id="rId97" Type="http://schemas.openxmlformats.org/officeDocument/2006/relationships/hyperlink" Target="https://datos.cdmx.gob.mx/explore/dataset/presupuesto-de-egresos/" TargetMode="External"/><Relationship Id="rId104" Type="http://schemas.openxmlformats.org/officeDocument/2006/relationships/hyperlink" Target="https://datos.cdmx.gob.mx/explore/dataset/presupuesto-de-egresos/" TargetMode="External"/><Relationship Id="rId7" Type="http://schemas.openxmlformats.org/officeDocument/2006/relationships/hyperlink" Target="https://datos.cdmx.gob.mx/explore/dataset/presupuesto-de-egresos/" TargetMode="External"/><Relationship Id="rId71" Type="http://schemas.openxmlformats.org/officeDocument/2006/relationships/hyperlink" Target="https://datos.cdmx.gob.mx/explore/dataset/presupuesto-de-egresos/" TargetMode="External"/><Relationship Id="rId92" Type="http://schemas.openxmlformats.org/officeDocument/2006/relationships/hyperlink" Target="https://datos.cdmx.gob.mx/explore/dataset/presupuesto-de-egreso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datos.cdmx.gob.mx/explore/dataset/presupuesto-de-egresos/" TargetMode="External"/><Relationship Id="rId24" Type="http://schemas.openxmlformats.org/officeDocument/2006/relationships/hyperlink" Target="https://datos.cdmx.gob.mx/explore/dataset/presupuesto-de-egresos/" TargetMode="External"/><Relationship Id="rId40" Type="http://schemas.openxmlformats.org/officeDocument/2006/relationships/hyperlink" Target="https://datos.cdmx.gob.mx/explore/dataset/presupuesto-de-egresos/" TargetMode="External"/><Relationship Id="rId45" Type="http://schemas.openxmlformats.org/officeDocument/2006/relationships/hyperlink" Target="https://datos.cdmx.gob.mx/explore/dataset/presupuesto-de-egresos/" TargetMode="External"/><Relationship Id="rId66" Type="http://schemas.openxmlformats.org/officeDocument/2006/relationships/hyperlink" Target="https://datos.cdmx.gob.mx/explore/dataset/presupuesto-de-egresos/" TargetMode="External"/><Relationship Id="rId87" Type="http://schemas.openxmlformats.org/officeDocument/2006/relationships/hyperlink" Target="https://datos.cdmx.gob.mx/explore/dataset/presupuesto-de-egresos/" TargetMode="External"/><Relationship Id="rId61" Type="http://schemas.openxmlformats.org/officeDocument/2006/relationships/hyperlink" Target="https://datos.cdmx.gob.mx/explore/dataset/presupuesto-de-egresos/" TargetMode="External"/><Relationship Id="rId82" Type="http://schemas.openxmlformats.org/officeDocument/2006/relationships/hyperlink" Target="https://datos.cdmx.gob.mx/explore/dataset/presupuesto-de-egresos/" TargetMode="External"/><Relationship Id="rId19" Type="http://schemas.openxmlformats.org/officeDocument/2006/relationships/hyperlink" Target="https://datos.cdmx.gob.mx/explore/dataset/presupuesto-de-egresos/" TargetMode="External"/><Relationship Id="rId14" Type="http://schemas.openxmlformats.org/officeDocument/2006/relationships/hyperlink" Target="https://datos.cdmx.gob.mx/explore/dataset/presupuesto-de-egresos/" TargetMode="External"/><Relationship Id="rId30" Type="http://schemas.openxmlformats.org/officeDocument/2006/relationships/hyperlink" Target="https://datos.cdmx.gob.mx/explore/dataset/presupuesto-de-egresos/" TargetMode="External"/><Relationship Id="rId35" Type="http://schemas.openxmlformats.org/officeDocument/2006/relationships/hyperlink" Target="https://datos.cdmx.gob.mx/explore/dataset/presupuesto-de-egresos/" TargetMode="External"/><Relationship Id="rId56" Type="http://schemas.openxmlformats.org/officeDocument/2006/relationships/hyperlink" Target="https://datos.cdmx.gob.mx/explore/dataset/presupuesto-de-egresos/" TargetMode="External"/><Relationship Id="rId77" Type="http://schemas.openxmlformats.org/officeDocument/2006/relationships/hyperlink" Target="https://datos.cdmx.gob.mx/explore/dataset/presupuesto-de-egresos/" TargetMode="External"/><Relationship Id="rId100" Type="http://schemas.openxmlformats.org/officeDocument/2006/relationships/hyperlink" Target="https://datos.cdmx.gob.mx/explore/dataset/presupuesto-de-egresos/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datos.cdmx.gob.mx/explore/dataset/presupuesto-de-egresos/" TargetMode="External"/><Relationship Id="rId51" Type="http://schemas.openxmlformats.org/officeDocument/2006/relationships/hyperlink" Target="https://datos.cdmx.gob.mx/explore/dataset/presupuesto-de-egresos/" TargetMode="External"/><Relationship Id="rId72" Type="http://schemas.openxmlformats.org/officeDocument/2006/relationships/hyperlink" Target="https://datos.cdmx.gob.mx/explore/dataset/presupuesto-de-egresos/" TargetMode="External"/><Relationship Id="rId93" Type="http://schemas.openxmlformats.org/officeDocument/2006/relationships/hyperlink" Target="https://datos.cdmx.gob.mx/explore/dataset/presupuesto-de-egresos/" TargetMode="External"/><Relationship Id="rId98" Type="http://schemas.openxmlformats.org/officeDocument/2006/relationships/hyperlink" Target="https://datos.cdmx.gob.mx/explore/dataset/presupuesto-de-egresos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atos.cdmx.gob.mx/explore/dataset/presupuesto-de-egresos/" TargetMode="External"/><Relationship Id="rId46" Type="http://schemas.openxmlformats.org/officeDocument/2006/relationships/hyperlink" Target="https://datos.cdmx.gob.mx/explore/dataset/presupuesto-de-egresos/" TargetMode="External"/><Relationship Id="rId67" Type="http://schemas.openxmlformats.org/officeDocument/2006/relationships/hyperlink" Target="https://datos.cdmx.gob.mx/explore/dataset/presupuesto-de-egres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2876</Words>
  <Characters>15823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Tello Bravo</dc:creator>
  <cp:keywords/>
  <dc:description/>
  <cp:lastModifiedBy>Benjamin Tello Bravo</cp:lastModifiedBy>
  <cp:revision>1</cp:revision>
  <dcterms:created xsi:type="dcterms:W3CDTF">2019-07-17T00:19:00Z</dcterms:created>
  <dcterms:modified xsi:type="dcterms:W3CDTF">2019-07-17T00:27:00Z</dcterms:modified>
</cp:coreProperties>
</file>