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4F5AF5"/>
          <w:sz w:val="19"/>
        </w:rPr>
        <w:t>IACS · CASO DE PRUEBA DE BASE DE CONOCIMIENTO</w:t>
      </w:r>
    </w:p>
    <w:p>
      <w:pPr>
        <w:spacing w:after="120"/>
      </w:pPr>
      <w:r>
        <w:rPr>
          <w:rFonts w:ascii="Arial" w:hAnsi="Arial"/>
          <w:b/>
          <w:color w:val="1B365D"/>
          <w:sz w:val="36"/>
        </w:rPr>
        <w:t>Manual de Políticas y Estándares de TI para Iniciativas 2026</w:t>
      </w:r>
    </w:p>
    <w:p>
      <w:pPr>
        <w:spacing w:after="280"/>
      </w:pPr>
      <w:r>
        <w:rPr>
          <w:rFonts w:ascii="Arial" w:hAnsi="Arial"/>
          <w:i/>
          <w:color w:val="64748B"/>
          <w:sz w:val="21"/>
        </w:rPr>
        <w:t>Documento con contenido ficticio institucional para probar la extracción, segmentación y enriquecimiento de contexto en el Asistente Teo.</w:t>
      </w:r>
    </w:p>
    <w:p>
      <w:pPr>
        <w:spacing w:after="280"/>
        <w:pBdr>
          <w:bottom w:val="single" w:sz="12" w:space="1" w:color="4F5AF5"/>
        </w:pBdr>
      </w:pPr>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50" w:type="dxa"/>
              <w:right w:w="150" w:type="dxa"/>
            </w:tcMar>
            <w:tcBorders>
              <w:left w:val="single" w:sz="20" w:space="0" w:color="4F5AF5"/>
              <w:top w:val="single" w:sz="6" w:space="0" w:color="E2E8F0"/>
              <w:right w:val="single" w:sz="6" w:space="0" w:color="E2E8F0"/>
              <w:bottom w:val="single" w:sz="6" w:space="0" w:color="E2E8F0"/>
            </w:tcBorders>
          </w:tcPr>
          <w:p>
            <w:pPr>
              <w:spacing w:after="40"/>
            </w:pPr>
            <w:r>
              <w:rPr>
                <w:rFonts w:ascii="Arial" w:hAnsi="Arial"/>
                <w:b/>
                <w:color w:val="1B365D"/>
                <w:sz w:val="24"/>
              </w:rPr>
              <w:t>📌 Política de Integración de Pasarelas de Pago y Cobranzas</w:t>
              <w:br/>
            </w:r>
          </w:p>
          <w:p>
            <w:pPr>
              <w:spacing w:after="120"/>
            </w:pPr>
            <w:r>
              <w:rPr>
                <w:rFonts w:ascii="Arial" w:hAnsi="Arial"/>
                <w:b/>
                <w:color w:val="64748B"/>
                <w:sz w:val="18"/>
              </w:rPr>
              <w:t>Categoría: Finanzas y Sistemas Transaccionales</w:t>
            </w:r>
          </w:p>
          <w:p>
            <w:pPr>
              <w:spacing w:after="120"/>
            </w:pPr>
            <w:r>
              <w:rPr>
                <w:b/>
                <w:color w:val="334155"/>
                <w:sz w:val="19"/>
              </w:rPr>
              <w:t xml:space="preserve">Contexto y Descripción: </w:t>
            </w:r>
            <w:r>
              <w:rPr>
                <w:color w:val="334155"/>
                <w:sz w:val="19"/>
              </w:rPr>
              <w:t>La institución cuenta con convenios corporativos homologados para recaudación digital con las pasarelas Niubiz y PayU. Todas las transacciones de matrícula, pensiones, certificados y trámites académicos deben procesarse exclusivamente a través de estas pasarelas. La conciliación bancaria se ejecuta en procesos batch programados cada 4 horas.</w:t>
            </w:r>
          </w:p>
          <w:p>
            <w:pPr>
              <w:spacing w:after="120"/>
            </w:pPr>
            <w:r>
              <w:rPr>
                <w:b/>
                <w:color w:val="1B365D"/>
                <w:sz w:val="19"/>
              </w:rPr>
              <w:t xml:space="preserve">Regla Institucional Obligatoria: </w:t>
            </w:r>
            <w:r>
              <w:rPr>
                <w:color w:val="334155"/>
                <w:sz w:val="19"/>
              </w:rPr>
              <w:t>Está terminantemente prohibido contratar o solicitar pasarelas de pago independientes (como Stripe, PayPal o MercadoPago) sin la aprobación formal previa de la Dirección de Finanzas y la Gerencia de Ciberseguridad.</w:t>
            </w:r>
          </w:p>
          <w:p>
            <w:pPr>
              <w:spacing w:after="40"/>
            </w:pPr>
            <w:r>
              <w:rPr>
                <w:b/>
                <w:color w:val="4F5AF5"/>
                <w:sz w:val="19"/>
              </w:rPr>
              <w:t xml:space="preserve">Cuestionamiento que debe aplicar TEO: </w:t>
            </w:r>
            <w:r>
              <w:rPr>
                <w:i/>
                <w:color w:val="1B365D"/>
                <w:sz w:val="19"/>
              </w:rPr>
              <w:t>Si el solicitante pide implementar cobros o pagos en línea, TEO debe preguntar: '¿Has contemplado utilizar las pasarelas homologadas Niubiz o PayU? Recuerda que cualquier pasarela externa requiere aprobación de Finanzas y Ciberseguridad. ¿Cuál es el volumen mensual aproximado de transacciones que esperas recaudar?'</w:t>
            </w:r>
          </w:p>
        </w:tc>
      </w:tr>
    </w:tbl>
    <w:p>
      <w:pPr>
        <w:spacing w:after="160"/>
      </w:pPr>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50" w:type="dxa"/>
              <w:right w:w="150" w:type="dxa"/>
            </w:tcMar>
            <w:tcBorders>
              <w:left w:val="single" w:sz="20" w:space="0" w:color="4F5AF5"/>
              <w:top w:val="single" w:sz="6" w:space="0" w:color="E2E8F0"/>
              <w:right w:val="single" w:sz="6" w:space="0" w:color="E2E8F0"/>
              <w:bottom w:val="single" w:sz="6" w:space="0" w:color="E2E8F0"/>
            </w:tcBorders>
          </w:tcPr>
          <w:p>
            <w:pPr>
              <w:spacing w:after="40"/>
            </w:pPr>
            <w:r>
              <w:rPr>
                <w:rFonts w:ascii="Arial" w:hAnsi="Arial"/>
                <w:b/>
                <w:color w:val="1B365D"/>
                <w:sz w:val="24"/>
              </w:rPr>
              <w:t>📌 Estándar de Integración con el Sistema Académico Core (Banner)</w:t>
              <w:br/>
            </w:r>
          </w:p>
          <w:p>
            <w:pPr>
              <w:spacing w:after="120"/>
            </w:pPr>
            <w:r>
              <w:rPr>
                <w:rFonts w:ascii="Arial" w:hAnsi="Arial"/>
                <w:b/>
                <w:color w:val="64748B"/>
                <w:sz w:val="18"/>
              </w:rPr>
              <w:t>Categoría: Arquitectura de TI e Integraciones</w:t>
            </w:r>
          </w:p>
          <w:p>
            <w:pPr>
              <w:spacing w:after="120"/>
            </w:pPr>
            <w:r>
              <w:rPr>
                <w:b/>
                <w:color w:val="334155"/>
                <w:sz w:val="19"/>
              </w:rPr>
              <w:t xml:space="preserve">Contexto y Descripción: </w:t>
            </w:r>
            <w:r>
              <w:rPr>
                <w:color w:val="334155"/>
                <w:sz w:val="19"/>
              </w:rPr>
              <w:t>El sistema Banner es el repositorio único y maestro de la vida académica del estudiante (expedientes, notas, convalidaciones y mallas curriculares). Cualquier sistema satélite que requiera consultar o escribir información debe hacerlo mediante el API Gateway corporativo (WSO2) utilizando tokens de autenticación OAuth2 y servicios web REST autorizados.</w:t>
            </w:r>
          </w:p>
          <w:p>
            <w:pPr>
              <w:spacing w:after="120"/>
            </w:pPr>
            <w:r>
              <w:rPr>
                <w:b/>
                <w:color w:val="1B365D"/>
                <w:sz w:val="19"/>
              </w:rPr>
              <w:t xml:space="preserve">Regla Institucional Obligatoria: </w:t>
            </w:r>
            <w:r>
              <w:rPr>
                <w:color w:val="334155"/>
                <w:sz w:val="19"/>
              </w:rPr>
              <w:t>Queda estrictamente prohibido solicitar conexiones JDBC/ODBC directas a la base de datos Oracle de producción de Banner. Tampoco se autorizan réplicas nocturnas completas de bases de datos para evitar desincronización de registros.</w:t>
            </w:r>
          </w:p>
          <w:p>
            <w:pPr>
              <w:spacing w:after="40"/>
            </w:pPr>
            <w:r>
              <w:rPr>
                <w:b/>
                <w:color w:val="4F5AF5"/>
                <w:sz w:val="19"/>
              </w:rPr>
              <w:t xml:space="preserve">Cuestionamiento que debe aplicar TEO: </w:t>
            </w:r>
            <w:r>
              <w:rPr>
                <w:i/>
                <w:color w:val="1B365D"/>
                <w:sz w:val="19"/>
              </w:rPr>
              <w:t>Si la iniciativa involucra alumnos, docentes o notas, TEO debe interrogar: 'Dado que esta información reside en Banner: ¿la solución contempla consumir las APIs existentes del API Gateway institucional? Recuerda que no se permiten conexiones directas a la base de datos de Banner.'</w:t>
            </w:r>
          </w:p>
        </w:tc>
      </w:tr>
    </w:tbl>
    <w:p>
      <w:pPr>
        <w:spacing w:after="160"/>
      </w:pPr>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50" w:type="dxa"/>
              <w:right w:w="150" w:type="dxa"/>
            </w:tcMar>
            <w:tcBorders>
              <w:left w:val="single" w:sz="20" w:space="0" w:color="4F5AF5"/>
              <w:top w:val="single" w:sz="6" w:space="0" w:color="E2E8F0"/>
              <w:right w:val="single" w:sz="6" w:space="0" w:color="E2E8F0"/>
              <w:bottom w:val="single" w:sz="6" w:space="0" w:color="E2E8F0"/>
            </w:tcBorders>
          </w:tcPr>
          <w:p>
            <w:pPr>
              <w:spacing w:after="40"/>
            </w:pPr>
            <w:r>
              <w:rPr>
                <w:rFonts w:ascii="Arial" w:hAnsi="Arial"/>
                <w:b/>
                <w:color w:val="1B365D"/>
                <w:sz w:val="24"/>
              </w:rPr>
              <w:t>📌 Criterio de Viabilidad y Umbral Mínimo de Ahorro de Horas-Hombre</w:t>
              <w:br/>
            </w:r>
          </w:p>
          <w:p>
            <w:pPr>
              <w:spacing w:after="120"/>
            </w:pPr>
            <w:r>
              <w:rPr>
                <w:rFonts w:ascii="Arial" w:hAnsi="Arial"/>
                <w:b/>
                <w:color w:val="64748B"/>
                <w:sz w:val="18"/>
              </w:rPr>
              <w:t>Categoría: Evaluación y Priorización de Demanda TI</w:t>
            </w:r>
          </w:p>
          <w:p>
            <w:pPr>
              <w:spacing w:after="120"/>
            </w:pPr>
            <w:r>
              <w:rPr>
                <w:b/>
                <w:color w:val="334155"/>
                <w:sz w:val="19"/>
              </w:rPr>
              <w:t xml:space="preserve">Contexto y Descripción: </w:t>
            </w:r>
            <w:r>
              <w:rPr>
                <w:color w:val="334155"/>
                <w:sz w:val="19"/>
              </w:rPr>
              <w:t>Los recursos del equipo de TI están priorizados para proyectos de alto impacto institucional. Para que un proyecto de automatización sea aprobado por el comité, debe demostrar un beneficio mínimo de 40 horas-hombre mensuales o un beneficio económico directo superior a $3,000 USD anuales en reducción de pérdidas o multas regulatorias.</w:t>
            </w:r>
          </w:p>
          <w:p>
            <w:pPr>
              <w:spacing w:after="120"/>
            </w:pPr>
            <w:r>
              <w:rPr>
                <w:b/>
                <w:color w:val="1B365D"/>
                <w:sz w:val="19"/>
              </w:rPr>
              <w:t xml:space="preserve">Regla Institucional Obligatoria: </w:t>
            </w:r>
            <w:r>
              <w:rPr>
                <w:color w:val="334155"/>
                <w:sz w:val="19"/>
              </w:rPr>
              <w:t>Requerimientos con un ahorro menor a 15 horas mensuales no califican como iniciativas de desarrollo en IACS. Dichas necesidades deben resolverse internamente por el área usuaria mediante herramientas de autoservicio como Power Automate o macros.</w:t>
            </w:r>
          </w:p>
          <w:p>
            <w:pPr>
              <w:spacing w:after="40"/>
            </w:pPr>
            <w:r>
              <w:rPr>
                <w:b/>
                <w:color w:val="4F5AF5"/>
                <w:sz w:val="19"/>
              </w:rPr>
              <w:t xml:space="preserve">Cuestionamiento que debe aplicar TEO: </w:t>
            </w:r>
            <w:r>
              <w:rPr>
                <w:i/>
                <w:color w:val="1B365D"/>
                <w:sz w:val="19"/>
              </w:rPr>
              <w:t>Si el usuario describe una tarea manual repetitiva, TEO debe indagar los números concretos: 'Para calcular la prioridad de tu iniciativa ante el comité: ¿cuántos colaboradores intervienen en esta tarea y cuántas horas a la semana le dedican a este proceso manual? Necesitamos validar que supere el umbral mínimo de 40 horas mensuales.'</w:t>
            </w:r>
          </w:p>
        </w:tc>
      </w:tr>
    </w:tbl>
    <w:p>
      <w:pPr>
        <w:spacing w:after="160"/>
      </w:pPr>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50" w:type="dxa"/>
              <w:right w:w="150" w:type="dxa"/>
            </w:tcMar>
            <w:tcBorders>
              <w:left w:val="single" w:sz="20" w:space="0" w:color="4F5AF5"/>
              <w:top w:val="single" w:sz="6" w:space="0" w:color="E2E8F0"/>
              <w:right w:val="single" w:sz="6" w:space="0" w:color="E2E8F0"/>
              <w:bottom w:val="single" w:sz="6" w:space="0" w:color="E2E8F0"/>
            </w:tcBorders>
          </w:tcPr>
          <w:p>
            <w:pPr>
              <w:spacing w:after="40"/>
            </w:pPr>
            <w:r>
              <w:rPr>
                <w:rFonts w:ascii="Arial" w:hAnsi="Arial"/>
                <w:b/>
                <w:color w:val="1B365D"/>
                <w:sz w:val="24"/>
              </w:rPr>
              <w:t>📌 Política Obligatoria de Autenticación Centralizada (Azure AD / SSO)</w:t>
              <w:br/>
            </w:r>
          </w:p>
          <w:p>
            <w:pPr>
              <w:spacing w:after="120"/>
            </w:pPr>
            <w:r>
              <w:rPr>
                <w:rFonts w:ascii="Arial" w:hAnsi="Arial"/>
                <w:b/>
                <w:color w:val="64748B"/>
                <w:sz w:val="18"/>
              </w:rPr>
              <w:t>Categoría: Ciberseguridad y Accesos</w:t>
            </w:r>
          </w:p>
          <w:p>
            <w:pPr>
              <w:spacing w:after="120"/>
            </w:pPr>
            <w:r>
              <w:rPr>
                <w:b/>
                <w:color w:val="334155"/>
                <w:sz w:val="19"/>
              </w:rPr>
              <w:t xml:space="preserve">Contexto y Descripción: </w:t>
            </w:r>
            <w:r>
              <w:rPr>
                <w:color w:val="334155"/>
                <w:sz w:val="19"/>
              </w:rPr>
              <w:t>Todos los aplicativos web, portales de autoservicio y aplicaciones móviles institucionales deben integrarse al Single Sign-On (SSO) corporativo basado en Microsoft Entra ID (Azure Active Directory) con autenticación multifactor (MFA).</w:t>
            </w:r>
          </w:p>
          <w:p>
            <w:pPr>
              <w:spacing w:after="120"/>
            </w:pPr>
            <w:r>
              <w:rPr>
                <w:b/>
                <w:color w:val="1B365D"/>
                <w:sz w:val="19"/>
              </w:rPr>
              <w:t xml:space="preserve">Regla Institucional Obligatoria: </w:t>
            </w:r>
            <w:r>
              <w:rPr>
                <w:color w:val="334155"/>
                <w:sz w:val="19"/>
              </w:rPr>
              <w:t>No se aceptará ninguna iniciativa técnica que proponga la creación de una base de datos propia de usuarios, contraseñas locales o mecanismos de registro independientes que no utilicen el correo institucional (@upn.pe o @laureate.net).</w:t>
            </w:r>
          </w:p>
          <w:p>
            <w:pPr>
              <w:spacing w:after="40"/>
            </w:pPr>
            <w:r>
              <w:rPr>
                <w:b/>
                <w:color w:val="4F5AF5"/>
                <w:sz w:val="19"/>
              </w:rPr>
              <w:t xml:space="preserve">Cuestionamiento que debe aplicar TEO: </w:t>
            </w:r>
            <w:r>
              <w:rPr>
                <w:i/>
                <w:color w:val="1B365D"/>
                <w:sz w:val="19"/>
              </w:rPr>
              <w:t>En la etapa de arquitectura y pruebas, TEO debe validar: '¿El acceso de los usuarios estará 100% integrado al SSO institucional con Microsoft Entra ID (Azure AD)? ¿Se requiere definir roles específicos como solo lectura, aprobador o administrador?'</w:t>
            </w:r>
          </w:p>
        </w:tc>
      </w:tr>
    </w:tbl>
    <w:p>
      <w:pPr>
        <w:spacing w:after="16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