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- Encontre os Requisitos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 Captação de ideias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2.2.1.1 Captar ideias para fomentar o processo de inovação por meio do lançamento de campanhas e desafios junto ao público interno do Banco do Brasil. Para execução desta funcionalidade, o software deverá possuir módulo de Ideação, que consistirá na interface principal de interação.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2.2.1.2 Configurar tela principal do módulo de Ideação modificando sua apresentação por meio da alteração de imagens, de textos, de cores e da disposição das informações sem a necessidade de alterações em linhas de códigos e de conhecimentos avançados de operação do software.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2.2.1.3 Configurar formulário para cadastramento dos dados da campanha/desafio, possibilitando a inclusão, a alteração e a exclusão de campos.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2.2.1.4 Categorizar ideias, a partir da associação das ideias a tags.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2.2.1.5 Gerar nuvens de palavras, a partir das tags cadastradas.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2.2.1.6 Acompanhar ideias:  Possibilidade de o autor da ideia receber notificação por e-mail sobre a mudança de status de suas ideias;  Possibilidade de o autor da ideia acompanhar o andamento de suas ideias diretamente no software.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2.2.1.7 Gerir o programa de reconhecimento e recompensa, por meio de indicadores gerados a partir do registro das participações dos autores das ideias no processo de ideação.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2.2.1.8 Dispor de recursos que facilitem a interação entre os colaboradores no decorrer da campanha como comentários, votações, manifestações de concordância e intervenções de moderadores.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2.2.1.9 Realizar a triagem e o filtro das ideias de modo a verificar o alinhamento da ideia quanto às diretrizes da campanha/desafio e para com o processo de inovação.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2.2.1.10 Realizar simultaneamente múltiplas campanhas e desafios de inovação.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2.2.1.11 Cadastrar, opcionalmente, ideias na base de dados do software de software sem que estas tenham que passar pelo fluxo das campanhas/desafios de inovação. DITEC/UES/GEARQ Brasília, 06/05/2013 Divisão de Arquitetura Tecnológica - Inovação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2.2.2 Colaboração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2.2.2.1 Realizar interações por meio de fóruns de discussão, relacionamentos, comunidades, atividades colaborativas, blogs, wiki, dentre outros, no formato de uma rede social de inovação.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2.2.2.2 Disponibilizar espaço para desenvolvimento colaborativo de ideias que contemple recursos de multimídia e de colaboração para maturação de ideias.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2.2.2.3 Anexar documentos como imagens, vídeos, arquivos no formato .pdf e .doc, dentre outros formatos, no espaço de desenvolvimento colaborativo.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2.2.3 Gestão de Ideias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2.2.3.1 Acompanhar a ideia nos seus diversos estágios de maturação.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2.2.3.2 Manter o status da ideia e realizar a comunicação automática, por e-mail, quando da sua mudança de status e quando de suas atualizações, aos colaboradores e responsáveis pela ideia.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2.2.3.3 Fornecer visões, utilizando recursos como consultas, relatórios e gráficos, que permitam gerir eficazmente o portfólio de ideias.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2.2.3.4 Realizar consultas no portfólio de ideias com visões gerenciais por meio de filtros como palavra-chave, tema da ideia, autor da ideia, status da ideia, data, dentre outros. 2.2.3.5 Gerar relatórios configuráveis com informações sobre o processo de gestão de ideias.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2.2.4 Desenvolvimento de Ideias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2.2.4.1 Possibilitar o agrupamento e o relacionamento de ideias afins.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2.2.4.2 Maturar e desenvolver ideias por meio de estágios, perfazendo o funil da inovação. 2.2.4.3 Criar modelos de funis da inovação com estágios configuráveis que contemplem questionários para aprovação e avaliação de ideias.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2.2.4.4 Configurar e reaproveitar questionários para aprovação e avaliação de ideias em cada estágio do funil.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2.2.4.5 Executar de forma simultânea múltiplos modelos de funis da inovação.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2.2.5 Administração do Sistema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2.2.5.1 Possibilitar a administração do sistema por meio de interface própria para gestão de acesso, configurações e parametrizações.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2.2.5.2 Realizar o controle de acesso dos usuários às funcionalidades do software por meio de interface administrativa.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Requisitos Tecnológicos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 Arquitetura da Aplicação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2.3.1.1 Estar em conformidade nos requisitos funcionais solicitados neste documento, com a especificação JEE 1.5 (Java Enterprise Edition) e suas versões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2.3.1.2 Ser compatível com a especificação JEE 5 e versões superiores nos requisitos funcionais solicitados neste documento.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2.3.1.3 Respeitar as restrições declaradas na especificação JEE 1.5 (Java Enterprise Edition) e versões superiores nos requisitos funcionais solicitados neste documento.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2.3.1.4 Prover todas as bibliotecas (open-source ou comerciais) ou produtos de terceiros necessários à execução do software nas mesmas condições de garantia, suporte, manutenção e atualização dada ao software principal sem ônus adicionais.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2.3.1.5 Prover interface para usuários por meio de navegador web para todas as funcionalidades.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2.3.1.6 Prover o balanceamento de carga entre as interfaces clientes e os servidores da camada de apresentação.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2.3.1.7 Prover instalação dos servidores do software em ambiente com virtualização.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2.3.1.8 Prover a execução dos servidores do software em cluster.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2.3.1.9 Fornecer interface web por meio de componentes executados em container Web de servidores de aplicação certificados para a especificação JEE 1.5 nos requisitos funcionais solicitados neste documento.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2.3.1.10 Utilizar a tecnologia JDBC (Java Database Conectivity) com Data Source para a persistência de dados em Sistemas Gerenciadores de Banco de Dados Relacionais. 2.3.1.11 Utilizar a API especificada pela JSR 170 (Java Specification Request) para gestão de repositório de documentos anexados ao Processo de Negócio.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 Processamento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2.3.2.1 Processamento dos Componentes Clientes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2.3.2.2 Suportar os seguintes sistemas operacionais: Microsoft Windows XP Professional, Microsoft Windows Vista Business, Microsoft Windows 7 Professional, Microsoft Windows 8, para o acesso via cliente browser e versões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2.3.2.3 Suportar os sistemas operacionais Linux Open SUSE 12.1 e superiores; e Linux Ubuntu 12.04 e versões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2.3.2.4 Suportar browser Internet Explorer versão 6.0 e versões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2.3.2.5 Suportar browser Mozilla Firefox versão 10.0 e versões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2.3.2.6 Prover as dependências do aplicativo referente às características do host (nome, endereço IP, diretórios ou filesystems, ou qualquer outra) de forma que estas sejam customizáveis em arquivo de configuração.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 Processamento dos Componentes Servidores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 Suportar a especificação JEE 1.5 (Java Enterprise Edition) e versões superiores nos requisitos funcionais solicitados neste documento.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2.3.2.7.2 Fornecer interface web por meio de componentes executados no Container Web de servidores de aplicações certificados para a especificação JEE 1.5 (Java Enterprise Edition) e versões superiores nos requisitos funcionais solicitados neste documento. 2.3.2.7.3 Fornecer a lógica de negócio por meio de componentes EJB (Enterprise Java Beans) executados em Container EJB de servidores de aplicação certificados para a especificação  JEE 1.5 (Java Enterprise Edition) e versões superiores nos requisitos funcionais solicitados neste documento.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2.3.2.7.4 Suportar a instalação em servidores de aplicativo JEE WebSphere versão 7.0 e versões superiores nos requisitos funcionais solicitados neste documento.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2.3.2.7.5 Suportar a instalação em servidores de aplicativo JEE WebLogic versão 10.3 e versões superiores nos requisitos funcionais solicitados neste documento.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2.3.2.7.6 Suportar processamento em ambiente virtualizado.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2.3.2.7.7 Suportar virtualização por meio da ferramenta Microsoft Hyper-v 2.0.4521 SP1 ou versões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2.3.2.7.8 Suportar virtualização por meio da ferramenta Vmware 5.0 ou versões superiores. 2.3.2.7.9 Suportar a instalação direta no sistema operacional RedHat com hardware x86 para servidor de aplicação.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2.3.2.7.10 Suportar a instalação direta no sistema operacional SuSe com hardware x86 para servidor de aplicação.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2.3.2.7.11 Suportar a instalação direta no sistema operacional Solaris com processador Sparc para servidor de aplicação.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2.3.2.7.12 Suportar a instalação direta no sistema operacional RedHat com hardware IBM zSeries para servidor de aplicação.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2.3.2.7.13 Suportar a instalação direta no sistema operacional Windows com hardware x86 para servidor de aplicação.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2.3.2.7.14 Suportar a instalação direta no sistema operacional AIX com hardware IBM pSeries para servidor de banco de dados.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2.3.2.7.15 Suportar a instalação direta no sistema operacional RedHat com hardware x86 para servidor de banco de dados.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2.3.2.7.16 Suportar a instalação direta no sistema operacional SuSe com hardware x86 para servidor de banco de dados.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2.3.2.7.17 Suportar a instalação direta no sistema operacional Windows com hardware x86 para servidor de banco de dados.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2.3.2.7.18 Suportar a instalação direta no sistema operacional Solaris com processador Sparc para servidor de banco de dados.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 Dados e Armazenamento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2.3.3.1 Prover os dados de modo que estes se apresentem de forma comum a todas as ferramentas do software, sem replicação.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2.3.3.2 Fornecer Dicionário de Dados do modelo lógico contendo as entidades com nome e texto de definição; os atributos com nome, texto de definição, tipo, tamanho, restrição de nulidade, indicador de chave primária e indicador de chave estrangeira; e, os relacionamentos com a entidade de origem, entidade de destino, cardinalidades na origem, cardinalidades no destino e regras de deleção/atualização.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2.3.3.3 Fornecer Dicionário de Dados do modelo físico contendo as tabelas com creator (ou owner), nome e texto de definição; as colunas com nome, texto de definição, tipo, tamanho, restrição de nulidade, indicador de chave primária e indicador de chave estrangeira, e os relacionamentos com a tabela de origem, tabela de destino, cardinalidades na origem, cardinalidades no destino e regras de deleção/atualização.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2.3.3.4 Suportar um dos seguintes SGBD (Sistemas Gerenciadores de Banco de Dados): IBMDB2 UDB versão 9.7 e versões superiores, ou SGBD Oracle versão 11g e versões superiores, ou MS SQL Server versão 2012 ou versões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2.3.3.5 Não fazer uso de Stored Procedures para implementação da lógica de negócio ou resolução de integridade referencial entre tabelas do SGBD.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2.3.3.6 Não fazer uso de Triggers para implementação da lógica de negócio ou resolução de integridade referencial entre tabelas do SGBD.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2.3.3.7 Não fazer uso de Functions para implementação da lógica de negócio ou resolução de integridade referencial entre tabelas do SGBD.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2.3.3.8 Utilizar exclusivamente a tecnologia JDBC (Java Database Conectivity) com Data Source para a persistência em Sistemas Gerenciadores de Banco de Dados Relacionais. 2.3.3.9 Gerir a guarda de arquivos de dados eletrônicos informados pelo usuário.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2.3.3.10 Suportar mecanismos para permitir a murchação e expurgo periódicos de dados, conforme regras a serem definidas pela área do negócio.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2.3.3.11 Prover mecanismo que permita anexar documentos eletrônicos ou imagens. 2.3.3.12 Suportar o Gerenciador de Conteúdo IBM Content Manager para guarda dos documentos recebidos por upload e recuperação de documentos já existentes na organização.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2.3.4 Operação e monitoração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2.3.4.1 O software deve fornecer recursos de notificação automáticos para fins de monitoração quando qualquer objeto que compõe a solução entrar ou sair do seu estado normal de funcionamento, considerando indisponibilidade e desempenho, enviando as informações através de mensagem com layout parametrizável, via comunicação TCP/IP, SNMPv2c, registro em arquivos de log ou tecnologia JMX. Para cada notificação deve ser fornecida orientação para retorno da normalidade, em manual e em conteúdo legível para ser reusado nos sistemas de bilhetagem interno.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2.3.4.2 O software deverá fornecer logs com registro de informações a serem utilizadas na depuração e verificação de falhas.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2.3.4.3 O software deverá fornecer recursos que permitam operação, manutenção, diagnóstico e supervisão de alarmes em console local e remota através de comunicação TCP/IP.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2.3.4.4 O software deve prover a sua monitoração pela plataforma HP Operations Manager for Unix, versão 9 e versões superiores.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2.3.4.5 O software deve ser instalada em ambiente que permita a instalação de agentes das ferramentas de gerenciamento do BANCO, para fins de monitoração, coleta de informações para planejamento de capacidade e análise de desempenho (HP Operations Agent versão 11 e versões superiores).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2.3.5 Usabilidade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2.3.5.1 Toda a interface do software com o usuário deve estar em português do Brasil.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2.3.5.2 Toda a interface do software dever ser gráfica (Graphical User Interface - GUI).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 Recursos de Acesso e Segurança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2.3.6.1 Deve suportar integração com o catálogo de diretório LDAP V3 RFC 2251 para identificação e autenticação de usuários.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2.3.6.2 Deve suportar integração com o catálogo de diretório LDAP V3 RFC 2251 para autorização de usuários a recursos e serviços.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2.3.6.3 Deve suportar a identificação e autenticação de usuários por meio de código de usuário e senha.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2.3.6.4 Deve implementar o cadastramento/descadastramento de usuários e privilégios online através de interface de programação.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2.3.6.5 Prover ferramentas para definição de políticas, tais como permissões diferenciadas por grupo de usuários.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2.3.6.6 Prover mecanismos de segregação de usuários por papel (nível) de atuação (usuários, operadores, suporte, administração e outros papéis que se deseja criar).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2.3.6.7 Implementar o gerenciamento de restrições de acesso por usuário e por grupo de usuários.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2.3.6.8 Disponibilizar recursos para auditoria de logs, contendo as transações realizadas pelos diversos usuários.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2.3.6.9 Deve prover trilhas de auditoria que registrem os movimentos (transações) executados pelos usuários com o objetivo de permitir o controle sobre os aspectos administrativos, suporte e atuação dos usuários no software.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2.3.6.10 Deve manter logs de transações efetuadas, bem como de autorizações concedidas e excluídas, contendo, no mínimo, data, hora e usuário.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2.3.7 Redes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2.3.7.1 O software deve ser compatível com os protocolos IP (Internet Protocol) versão 4. 2.3.7.2 O software deve ser compatível com os serviços DNS (Domain Name Server). 2.3.7.3 O software deve ser compatível com os seguintes protocolos de transporte: TCP (Transmission Control Protocol) ou UDP (User Datagram Protocol).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2.3.7.4 O software deve suportar a configuração do número da porta TCP/UDP de todos os seus componentes.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