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MCP SF</w:t>
        <w:br/>
        <w:t>Technical Documentation</w:t>
      </w:r>
    </w:p>
    <w:p>
      <w:pPr>
        <w:jc w:val="center"/>
      </w:pPr>
      <w:r>
        <w:rPr>
          <w:color w:val="505050"/>
          <w:sz w:val="28"/>
        </w:rPr>
        <w:t>MCP Server for SAP SuccessFactors — System Configuration Tool</w:t>
      </w:r>
    </w:p>
    <w:p/>
    <w:p>
      <w:pPr>
        <w:jc w:val="center"/>
      </w:pPr>
      <w:r>
        <w:rPr>
          <w:sz w:val="20"/>
        </w:rPr>
        <w:t>Version 0.3.0  |  April 2026</w:t>
      </w:r>
    </w:p>
    <w:p>
      <w:r>
        <w:br w:type="page"/>
      </w:r>
    </w:p>
    <w:p>
      <w:pPr>
        <w:pStyle w:val="Heading1"/>
      </w:pPr>
      <w:r>
        <w:t>Table of Contents</w:t>
      </w:r>
    </w:p>
    <w:p>
      <w:pPr>
        <w:pStyle w:val="ListNumber"/>
      </w:pPr>
      <w:r>
        <w:t>1. What is MCP SF</w:t>
      </w:r>
    </w:p>
    <w:p>
      <w:pPr>
        <w:pStyle w:val="ListNumber"/>
      </w:pPr>
      <w:r>
        <w:t>2. Security Model</w:t>
      </w:r>
    </w:p>
    <w:p>
      <w:pPr>
        <w:pStyle w:val="ListNumber"/>
      </w:pPr>
      <w:r>
        <w:t>3. General Architecture</w:t>
      </w:r>
    </w:p>
    <w:p>
      <w:pPr>
        <w:pStyle w:val="ListNumber"/>
      </w:pPr>
      <w:r>
        <w:t>4. OIDC Authentication Flow</w:t>
      </w:r>
    </w:p>
    <w:p>
      <w:pPr>
        <w:pStyle w:val="ListNumber"/>
      </w:pPr>
      <w:r>
        <w:t>5. HTTP Client and Data Centers</w:t>
      </w:r>
    </w:p>
    <w:p>
      <w:pPr>
        <w:pStyle w:val="ListNumber"/>
      </w:pPr>
      <w:r>
        <w:t>6. 34 Tools Catalog</w:t>
      </w:r>
    </w:p>
    <w:p>
      <w:pPr>
        <w:pStyle w:val="ListNumber"/>
      </w:pPr>
      <w:r>
        <w:t>7. How to Connect to an SF Instance</w:t>
      </w:r>
    </w:p>
    <w:p>
      <w:pPr>
        <w:pStyle w:val="ListNumber"/>
      </w:pPr>
      <w:r>
        <w:t>8. Required Permissions in SAP SuccessFactors</w:t>
      </w:r>
    </w:p>
    <w:p>
      <w:pPr>
        <w:pStyle w:val="ListNumber"/>
      </w:pPr>
      <w:r>
        <w:t>9. Known Limitations</w:t>
      </w:r>
    </w:p>
    <w:p>
      <w:pPr>
        <w:pStyle w:val="ListNumber"/>
      </w:pPr>
      <w:r>
        <w:t>10. Execution and Transport</w:t>
      </w:r>
    </w:p>
    <w:p>
      <w:r>
        <w:br w:type="page"/>
      </w:r>
    </w:p>
    <w:p>
      <w:pPr>
        <w:pStyle w:val="Heading1"/>
      </w:pPr>
      <w:r>
        <w:t>1. What is MCP SF</w:t>
      </w:r>
    </w:p>
    <w:p>
      <w:r>
        <w:t>MCP SF is an MCP (Model Context Protocol) server built in Python that connects an AI assistant (Claude or any MCP client) directly to a SAP SuccessFactors instance in real time.</w:t>
      </w:r>
    </w:p>
    <w:p>
      <w:r>
        <w:t>It is designed exclusively as a system configuration tool for SF consultants and implementors. It allows interaction with entity metadata, business rules, Foundation Objects, picklists, permission roles, import templates, and MDF objects — using natural language, without manually navigating Admin Center screens.</w:t>
      </w:r>
    </w:p>
    <w:p>
      <w:pPr>
        <w:ind w:left="432"/>
      </w:pPr>
      <w:r>
        <w:rPr>
          <w:i/>
          <w:color w:val="505050"/>
          <w:sz w:val="20"/>
        </w:rPr>
        <w:t>Note: This server does not provide access to employee personal data. All tools operate on configuration entities only. Access to employee records (names, IDs, salaries, addresses, national IDs, emails, phones) is blocked at the infrastructure level.</w:t>
      </w:r>
    </w:p>
    <w:p>
      <w:pPr>
        <w:pStyle w:val="Heading2"/>
      </w:pPr>
      <w:r>
        <w:t>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Technology</w:t>
            </w:r>
          </w:p>
        </w:tc>
      </w:tr>
      <w:tr>
        <w:tc>
          <w:tcPr>
            <w:tcW w:type="dxa" w:w="4320"/>
          </w:tcPr>
          <w:p>
            <w:r>
              <w:rPr>
                <w:sz w:val="18"/>
              </w:rPr>
              <w:t>MCP Framework</w:t>
            </w:r>
          </w:p>
        </w:tc>
        <w:tc>
          <w:tcPr>
            <w:tcW w:type="dxa" w:w="4320"/>
          </w:tcPr>
          <w:p>
            <w:r>
              <w:rPr>
                <w:sz w:val="18"/>
              </w:rPr>
              <w:t>FastMCP (Python)</w:t>
            </w:r>
          </w:p>
        </w:tc>
      </w:tr>
      <w:tr>
        <w:tc>
          <w:tcPr>
            <w:tcW w:type="dxa" w:w="4320"/>
          </w:tcPr>
          <w:p>
            <w:r>
              <w:rPr>
                <w:sz w:val="18"/>
              </w:rPr>
              <w:t>HTTP Client</w:t>
            </w:r>
          </w:p>
        </w:tc>
        <w:tc>
          <w:tcPr>
            <w:tcW w:type="dxa" w:w="4320"/>
          </w:tcPr>
          <w:p>
            <w:r>
              <w:rPr>
                <w:sz w:val="18"/>
              </w:rPr>
              <w:t>httpx (async)</w:t>
            </w:r>
          </w:p>
        </w:tc>
      </w:tr>
      <w:tr>
        <w:tc>
          <w:tcPr>
            <w:tcW w:type="dxa" w:w="4320"/>
          </w:tcPr>
          <w:p>
            <w:r>
              <w:rPr>
                <w:sz w:val="18"/>
              </w:rPr>
              <w:t>Data Validation</w:t>
            </w:r>
          </w:p>
        </w:tc>
        <w:tc>
          <w:tcPr>
            <w:tcW w:type="dxa" w:w="4320"/>
          </w:tcPr>
          <w:p>
            <w:r>
              <w:rPr>
                <w:sz w:val="18"/>
              </w:rPr>
              <w:t>Pydantic v2</w:t>
            </w:r>
          </w:p>
        </w:tc>
      </w:tr>
      <w:tr>
        <w:tc>
          <w:tcPr>
            <w:tcW w:type="dxa" w:w="4320"/>
          </w:tcPr>
          <w:p>
            <w:r>
              <w:rPr>
                <w:sz w:val="18"/>
              </w:rPr>
              <w:t>Authentication</w:t>
            </w:r>
          </w:p>
        </w:tc>
        <w:tc>
          <w:tcPr>
            <w:tcW w:type="dxa" w:w="4320"/>
          </w:tcPr>
          <w:p>
            <w:r>
              <w:rPr>
                <w:sz w:val="18"/>
              </w:rPr>
              <w:t>OIDC 2-step flow via IAS</w:t>
            </w:r>
          </w:p>
        </w:tc>
      </w:tr>
      <w:tr>
        <w:tc>
          <w:tcPr>
            <w:tcW w:type="dxa" w:w="4320"/>
          </w:tcPr>
          <w:p>
            <w:r>
              <w:rPr>
                <w:sz w:val="18"/>
              </w:rPr>
              <w:t>SF API</w:t>
            </w:r>
          </w:p>
        </w:tc>
        <w:tc>
          <w:tcPr>
            <w:tcW w:type="dxa" w:w="4320"/>
          </w:tcPr>
          <w:p>
            <w:r>
              <w:rPr>
                <w:sz w:val="18"/>
              </w:rPr>
              <w:t>OData v2</w:t>
            </w:r>
          </w:p>
        </w:tc>
      </w:tr>
      <w:tr>
        <w:tc>
          <w:tcPr>
            <w:tcW w:type="dxa" w:w="4320"/>
          </w:tcPr>
          <w:p>
            <w:r>
              <w:rPr>
                <w:sz w:val="18"/>
              </w:rPr>
              <w:t>XML Parsing</w:t>
            </w:r>
          </w:p>
        </w:tc>
        <w:tc>
          <w:tcPr>
            <w:tcW w:type="dxa" w:w="4320"/>
          </w:tcPr>
          <w:p>
            <w:r>
              <w:rPr>
                <w:sz w:val="18"/>
              </w:rPr>
              <w:t>defusedxml (XXE-safe)</w:t>
            </w:r>
          </w:p>
        </w:tc>
      </w:tr>
      <w:tr>
        <w:tc>
          <w:tcPr>
            <w:tcW w:type="dxa" w:w="4320"/>
          </w:tcPr>
          <w:p>
            <w:r>
              <w:rPr>
                <w:sz w:val="18"/>
              </w:rPr>
              <w:t>Package Manager</w:t>
            </w:r>
          </w:p>
        </w:tc>
        <w:tc>
          <w:tcPr>
            <w:tcW w:type="dxa" w:w="4320"/>
          </w:tcPr>
          <w:p>
            <w:r>
              <w:rPr>
                <w:sz w:val="18"/>
              </w:rPr>
              <w:t>uv</w:t>
            </w:r>
          </w:p>
        </w:tc>
      </w:tr>
      <w:tr>
        <w:tc>
          <w:tcPr>
            <w:tcW w:type="dxa" w:w="4320"/>
          </w:tcPr>
          <w:p>
            <w:r>
              <w:rPr>
                <w:sz w:val="18"/>
              </w:rPr>
              <w:t>Tests</w:t>
            </w:r>
          </w:p>
        </w:tc>
        <w:tc>
          <w:tcPr>
            <w:tcW w:type="dxa" w:w="4320"/>
          </w:tcPr>
          <w:p>
            <w:r>
              <w:rPr>
                <w:sz w:val="18"/>
              </w:rPr>
              <w:t>pytest + pytest-asyncio + respx</w:t>
            </w:r>
          </w:p>
        </w:tc>
      </w:tr>
      <w:tr>
        <w:tc>
          <w:tcPr>
            <w:tcW w:type="dxa" w:w="4320"/>
          </w:tcPr>
          <w:p>
            <w:r>
              <w:rPr>
                <w:sz w:val="18"/>
              </w:rPr>
              <w:t>Python</w:t>
            </w:r>
          </w:p>
        </w:tc>
        <w:tc>
          <w:tcPr>
            <w:tcW w:type="dxa" w:w="4320"/>
          </w:tcPr>
          <w:p>
            <w:r>
              <w:rPr>
                <w:sz w:val="18"/>
              </w:rPr>
              <w:t>3.10+</w:t>
            </w:r>
          </w:p>
        </w:tc>
      </w:tr>
    </w:tbl>
    <w:p/>
    <w:p>
      <w:r>
        <w:br w:type="page"/>
      </w:r>
    </w:p>
    <w:p>
      <w:pPr>
        <w:pStyle w:val="Heading1"/>
      </w:pPr>
      <w:r>
        <w:t>2. Security Model</w:t>
      </w:r>
    </w:p>
    <w:p>
      <w:pPr>
        <w:pStyle w:val="Heading2"/>
      </w:pPr>
      <w:r>
        <w:t>2.1 Design Principle: Zero Employee Data</w:t>
      </w:r>
    </w:p>
    <w:p>
      <w:r>
        <w:t>The server is designed around a single security guarantee: no employee personal data can be accessed through any tool, under any circumstances. This is not enforced through documentation conventions or field-level filtering — it is enforced structurally at the HTTP client level, before any network request reaches SAP SuccessFactors.</w:t>
      </w:r>
    </w:p>
    <w:p>
      <w:pPr>
        <w:pStyle w:val="Heading2"/>
      </w:pPr>
      <w:r>
        <w:t>2.2 Entity Allowlist</w:t>
      </w:r>
    </w:p>
    <w:p>
      <w:r>
        <w:t>Every OData query, upsert, and record-level operation goes through SFClient in helpers/sf_client.py. Before making any network call, SFClient checks the target entity against a hardcoded allowlist of permitted configuration entities.</w:t>
      </w:r>
    </w:p>
    <w:p>
      <w:r>
        <w:t>The allowlist is opt-in by default: any entity not explicitly listed is blocked. When SAP adds new entities in future releases, they are blocked automatically until an administrator explicitly approves them.</w:t>
      </w:r>
    </w:p>
    <w:p>
      <w:pPr>
        <w:pStyle w:val="Heading3"/>
      </w:pPr>
      <w:r>
        <w:t>How the Block Works</w:t>
      </w:r>
    </w:p>
    <w:p>
      <w:pPr>
        <w:pStyle w:val="ListNumber"/>
      </w:pPr>
      <w:r>
        <w:t>Tool calls SFClient.query_odata(entity='EmpJob', ...)</w:t>
      </w:r>
    </w:p>
    <w:p>
      <w:pPr>
        <w:pStyle w:val="ListNumber"/>
      </w:pPr>
      <w:r>
        <w:t>SFClient checks: 'EmpJob' in ALLOWED_ENTITIES?</w:t>
      </w:r>
    </w:p>
    <w:p>
      <w:pPr>
        <w:pStyle w:val="ListNumber"/>
      </w:pPr>
      <w:r>
        <w:t>Result: NO → raise SFPermissionError immediately</w:t>
      </w:r>
    </w:p>
    <w:p>
      <w:pPr>
        <w:pStyle w:val="ListNumber"/>
      </w:pPr>
      <w:r>
        <w:t>No HTTP call is made. No data is fetched. No partial response.</w:t>
      </w:r>
    </w:p>
    <w:p>
      <w:pPr>
        <w:pStyle w:val="ListNumber"/>
      </w:pPr>
      <w:r>
        <w:t>Tool returns: {"error": "Entity 'EmpJob' is restricted...", "allowed": false}</w:t>
      </w:r>
    </w:p>
    <w:p>
      <w:pPr>
        <w:pStyle w:val="Heading2"/>
      </w:pPr>
      <w:r>
        <w:t>2.3 Allowed Entities (Configuration Only)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Allowed Entities</w:t>
            </w:r>
          </w:p>
        </w:tc>
      </w:tr>
      <w:tr>
        <w:tc>
          <w:tcPr>
            <w:tcW w:type="dxa" w:w="4320"/>
          </w:tcPr>
          <w:p>
            <w:r>
              <w:rPr>
                <w:sz w:val="18"/>
              </w:rPr>
              <w:t>Foundation Objects</w:t>
            </w:r>
          </w:p>
        </w:tc>
        <w:tc>
          <w:tcPr>
            <w:tcW w:type="dxa" w:w="4320"/>
          </w:tcPr>
          <w:p>
            <w:r>
              <w:rPr>
                <w:sz w:val="18"/>
              </w:rPr>
              <w:t>FOCompany, FODepartment, FODivision, FOLocation, FOCostCenter, FOJobCode, FOPayGrade, FOJobFunction, FOBusinessUnit, FOGeozone, FOPayGroup, FOEventReason, FOJobClassification</w:t>
            </w:r>
          </w:p>
        </w:tc>
      </w:tr>
      <w:tr>
        <w:tc>
          <w:tcPr>
            <w:tcW w:type="dxa" w:w="4320"/>
          </w:tcPr>
          <w:p>
            <w:r>
              <w:rPr>
                <w:sz w:val="18"/>
              </w:rPr>
              <w:t>Position Management</w:t>
            </w:r>
          </w:p>
        </w:tc>
        <w:tc>
          <w:tcPr>
            <w:tcW w:type="dxa" w:w="4320"/>
          </w:tcPr>
          <w:p>
            <w:r>
              <w:rPr>
                <w:sz w:val="18"/>
              </w:rPr>
              <w:t>Position (structural fields only)</w:t>
            </w:r>
          </w:p>
        </w:tc>
      </w:tr>
      <w:tr>
        <w:tc>
          <w:tcPr>
            <w:tcW w:type="dxa" w:w="4320"/>
          </w:tcPr>
          <w:p>
            <w:r>
              <w:rPr>
                <w:sz w:val="18"/>
              </w:rPr>
              <w:t>Business Rules &amp; Permissions</w:t>
            </w:r>
          </w:p>
        </w:tc>
        <w:tc>
          <w:tcPr>
            <w:tcW w:type="dxa" w:w="4320"/>
          </w:tcPr>
          <w:p>
            <w:r>
              <w:rPr>
                <w:sz w:val="18"/>
              </w:rPr>
              <w:t>BusinessRule, BusinessRuleParameter, RBPRole, RBPPermission, DynamicGroup</w:t>
            </w:r>
          </w:p>
        </w:tc>
      </w:tr>
      <w:tr>
        <w:tc>
          <w:tcPr>
            <w:tcW w:type="dxa" w:w="4320"/>
          </w:tcPr>
          <w:p>
            <w:r>
              <w:rPr>
                <w:sz w:val="18"/>
              </w:rPr>
              <w:t>Picklists</w:t>
            </w:r>
          </w:p>
        </w:tc>
        <w:tc>
          <w:tcPr>
            <w:tcW w:type="dxa" w:w="4320"/>
          </w:tcPr>
          <w:p>
            <w:r>
              <w:rPr>
                <w:sz w:val="18"/>
              </w:rPr>
              <w:t>Picklist, PicklistOption, PicklistLabel</w:t>
            </w:r>
          </w:p>
        </w:tc>
      </w:tr>
      <w:tr>
        <w:tc>
          <w:tcPr>
            <w:tcW w:type="dxa" w:w="4320"/>
          </w:tcPr>
          <w:p>
            <w:r>
              <w:rPr>
                <w:sz w:val="18"/>
              </w:rPr>
              <w:t>Metadata endpoints</w:t>
            </w:r>
          </w:p>
        </w:tc>
        <w:tc>
          <w:tcPr>
            <w:tcW w:type="dxa" w:w="4320"/>
          </w:tcPr>
          <w:p>
            <w:r>
              <w:rPr>
                <w:sz w:val="18"/>
              </w:rPr>
              <w:t>$metadata (always allowed — schema only, never records)</w:t>
            </w:r>
          </w:p>
        </w:tc>
      </w:tr>
      <w:tr>
        <w:tc>
          <w:tcPr>
            <w:tcW w:type="dxa" w:w="4320"/>
          </w:tcPr>
          <w:p>
            <w:r>
              <w:rPr>
                <w:sz w:val="18"/>
              </w:rPr>
              <w:t>MDF schema tools</w:t>
            </w:r>
          </w:p>
        </w:tc>
        <w:tc>
          <w:tcPr>
            <w:tcW w:type="dxa" w:w="4320"/>
          </w:tcPr>
          <w:p>
            <w:r>
              <w:rPr>
                <w:sz w:val="18"/>
              </w:rPr>
              <w:t>get_mdf_object_definition, list_mdf_objects, generate_mdf_import_template (schema only, bypass entity check)</w:t>
            </w:r>
          </w:p>
        </w:tc>
      </w:tr>
    </w:tbl>
    <w:p/>
    <w:p>
      <w:pPr>
        <w:pStyle w:val="Heading2"/>
      </w:pPr>
      <w:r>
        <w:t>2.4 Blocked Entities</w:t>
      </w:r>
    </w:p>
    <w:p>
      <w:r>
        <w:t>The following families are blocked because they contain employee personal data. This list is illustrative — anything not in the allowlist is blocked.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Family</w:t>
            </w:r>
          </w:p>
        </w:tc>
        <w:tc>
          <w:tcPr>
            <w:tcW w:type="dxa" w:w="4320"/>
          </w:tcPr>
          <w:p>
            <w:r>
              <w:rPr>
                <w:b/>
                <w:sz w:val="18"/>
              </w:rPr>
              <w:t>Blocked Entities</w:t>
            </w:r>
          </w:p>
        </w:tc>
      </w:tr>
      <w:tr>
        <w:tc>
          <w:tcPr>
            <w:tcW w:type="dxa" w:w="4320"/>
          </w:tcPr>
          <w:p>
            <w:r>
              <w:rPr>
                <w:sz w:val="18"/>
              </w:rPr>
              <w:t>Personal information</w:t>
            </w:r>
          </w:p>
        </w:tc>
        <w:tc>
          <w:tcPr>
            <w:tcW w:type="dxa" w:w="4320"/>
          </w:tcPr>
          <w:p>
            <w:r>
              <w:rPr>
                <w:sz w:val="18"/>
              </w:rPr>
              <w:t>PerPerson, PerPersonal, PerNationalId, PerEmail, PerPhone, PerAddressDeflt, PerGlobalInfo, PerEmergencyContacts</w:t>
            </w:r>
          </w:p>
        </w:tc>
      </w:tr>
      <w:tr>
        <w:tc>
          <w:tcPr>
            <w:tcW w:type="dxa" w:w="4320"/>
          </w:tcPr>
          <w:p>
            <w:r>
              <w:rPr>
                <w:sz w:val="18"/>
              </w:rPr>
              <w:t>Employment records</w:t>
            </w:r>
          </w:p>
        </w:tc>
        <w:tc>
          <w:tcPr>
            <w:tcW w:type="dxa" w:w="4320"/>
          </w:tcPr>
          <w:p>
            <w:r>
              <w:rPr>
                <w:sz w:val="18"/>
              </w:rPr>
              <w:t>EmpJob, EmpEmployment, EmpCompensation, EmpPayCompRecurring</w:t>
            </w:r>
          </w:p>
        </w:tc>
      </w:tr>
      <w:tr>
        <w:tc>
          <w:tcPr>
            <w:tcW w:type="dxa" w:w="4320"/>
          </w:tcPr>
          <w:p>
            <w:r>
              <w:rPr>
                <w:sz w:val="18"/>
              </w:rPr>
              <w:t>User records</w:t>
            </w:r>
          </w:p>
        </w:tc>
        <w:tc>
          <w:tcPr>
            <w:tcW w:type="dxa" w:w="4320"/>
          </w:tcPr>
          <w:p>
            <w:r>
              <w:rPr>
                <w:sz w:val="18"/>
              </w:rPr>
              <w:t>User, CompoundEmployee</w:t>
            </w:r>
          </w:p>
        </w:tc>
      </w:tr>
      <w:tr>
        <w:tc>
          <w:tcPr>
            <w:tcW w:type="dxa" w:w="4320"/>
          </w:tcPr>
          <w:p>
            <w:r>
              <w:rPr>
                <w:sz w:val="18"/>
              </w:rPr>
              <w:t>Time management</w:t>
            </w:r>
          </w:p>
        </w:tc>
        <w:tc>
          <w:tcPr>
            <w:tcW w:type="dxa" w:w="4320"/>
          </w:tcPr>
          <w:p>
            <w:r>
              <w:rPr>
                <w:sz w:val="18"/>
              </w:rPr>
              <w:t>TimeAccount, TimeAccountDetail, EmployeeTime</w:t>
            </w:r>
          </w:p>
        </w:tc>
      </w:tr>
    </w:tbl>
    <w:p/>
    <w:p>
      <w:r>
        <w:t>When a blocked entity is requested, the server returns:</w:t>
      </w:r>
    </w:p>
    <w:p>
      <w:pPr>
        <w:ind w:left="432"/>
      </w:pPr>
      <w:r>
        <w:rPr>
          <w:rFonts w:ascii="Courier New" w:hAnsi="Courier New"/>
          <w:color w:val="1E1E1E"/>
          <w:sz w:val="16"/>
        </w:rPr>
        <w:t>{</w:t>
        <w:br/>
        <w:t xml:space="preserve">  "error": "Entity 'PerNationalId' is restricted. This MCP server only provides</w:t>
        <w:br/>
        <w:t xml:space="preserve">            access to system configuration entities.",</w:t>
        <w:br/>
        <w:t xml:space="preserve">  "entity": "PerNationalId",</w:t>
        <w:br/>
        <w:t xml:space="preserve">  "allowed": false</w:t>
        <w:br/>
        <w:t>}</w:t>
      </w:r>
    </w:p>
    <w:p>
      <w:pPr>
        <w:pStyle w:val="Heading2"/>
      </w:pPr>
      <w:r>
        <w:t>2.5 OData Injection Prevention</w:t>
      </w:r>
    </w:p>
    <w:p>
      <w:r>
        <w:t>All user-supplied values embedded in OData $filter expressions are sanitized through helpers/odata_utils.py: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Function</w:t>
            </w:r>
          </w:p>
        </w:tc>
        <w:tc>
          <w:tcPr>
            <w:tcW w:type="dxa" w:w="2880"/>
          </w:tcPr>
          <w:p>
            <w:r>
              <w:rPr>
                <w:b/>
                <w:sz w:val="18"/>
              </w:rPr>
              <w:t>Purpose</w:t>
            </w:r>
          </w:p>
        </w:tc>
        <w:tc>
          <w:tcPr>
            <w:tcW w:type="dxa" w:w="2880"/>
          </w:tcPr>
          <w:p>
            <w:r>
              <w:rPr>
                <w:b/>
                <w:sz w:val="18"/>
              </w:rPr>
              <w:t>Example</w:t>
            </w:r>
          </w:p>
        </w:tc>
      </w:tr>
      <w:tr>
        <w:tc>
          <w:tcPr>
            <w:tcW w:type="dxa" w:w="2880"/>
          </w:tcPr>
          <w:p>
            <w:r>
              <w:rPr>
                <w:sz w:val="18"/>
              </w:rPr>
              <w:t>escape_odata_string(value)</w:t>
            </w:r>
          </w:p>
        </w:tc>
        <w:tc>
          <w:tcPr>
            <w:tcW w:type="dxa" w:w="2880"/>
          </w:tcPr>
          <w:p>
            <w:r>
              <w:rPr>
                <w:sz w:val="18"/>
              </w:rPr>
              <w:t>Escapes single quotes by doubling them</w:t>
            </w:r>
          </w:p>
        </w:tc>
        <w:tc>
          <w:tcPr>
            <w:tcW w:type="dxa" w:w="2880"/>
          </w:tcPr>
          <w:p>
            <w:r>
              <w:rPr>
                <w:sz w:val="18"/>
              </w:rPr>
              <w:t>O'Brien → O''Brien</w:t>
            </w:r>
          </w:p>
        </w:tc>
      </w:tr>
      <w:tr>
        <w:tc>
          <w:tcPr>
            <w:tcW w:type="dxa" w:w="2880"/>
          </w:tcPr>
          <w:p>
            <w:r>
              <w:rPr>
                <w:sz w:val="18"/>
              </w:rPr>
              <w:t>validate_field_name(name)</w:t>
            </w:r>
          </w:p>
        </w:tc>
        <w:tc>
          <w:tcPr>
            <w:tcW w:type="dxa" w:w="2880"/>
          </w:tcPr>
          <w:p>
            <w:r>
              <w:rPr>
                <w:sz w:val="18"/>
              </w:rPr>
              <w:t>Validates field names against ^[a-zA-Z_][a-zA-Z0-9_]{0,127}$</w:t>
            </w:r>
          </w:p>
        </w:tc>
        <w:tc>
          <w:tcPr>
            <w:tcW w:type="dxa" w:w="2880"/>
          </w:tcPr>
          <w:p>
            <w:r>
              <w:rPr>
                <w:sz w:val="18"/>
              </w:rPr>
              <w:t>Rejects 'field;$expand=evil'</w:t>
            </w:r>
          </w:p>
        </w:tc>
      </w:tr>
      <w:tr>
        <w:tc>
          <w:tcPr>
            <w:tcW w:type="dxa" w:w="2880"/>
          </w:tcPr>
          <w:p>
            <w:r>
              <w:rPr>
                <w:sz w:val="18"/>
              </w:rPr>
              <w:t>Date validation in build_effective_date_filter</w:t>
            </w:r>
          </w:p>
        </w:tc>
        <w:tc>
          <w:tcPr>
            <w:tcW w:type="dxa" w:w="2880"/>
          </w:tcPr>
          <w:p>
            <w:r>
              <w:rPr>
                <w:sz w:val="18"/>
              </w:rPr>
              <w:t>Validates against ^\d{4}-\d{2}-\d{2}$</w:t>
            </w:r>
          </w:p>
        </w:tc>
        <w:tc>
          <w:tcPr>
            <w:tcW w:type="dxa" w:w="2880"/>
          </w:tcPr>
          <w:p>
            <w:r>
              <w:rPr>
                <w:sz w:val="18"/>
              </w:rPr>
              <w:t>Rejects '2024-01-01' or '1'='1'</w:t>
            </w:r>
          </w:p>
        </w:tc>
      </w:tr>
    </w:tbl>
    <w:p/>
    <w:p>
      <w:pPr>
        <w:pStyle w:val="Heading2"/>
      </w:pPr>
      <w:r>
        <w:t>2.6 XML Parsing Safety (XXE Prevention)</w:t>
      </w:r>
    </w:p>
    <w:p>
      <w:r>
        <w:t>The metadata parser (helpers/metadata_parser.py) uses defusedxml instead of Python's standard xml.etree.ElementTree. defusedxml raises an exception for XML payloads containing external entity declarations (XXE attacks), entity expansion (billion laughs), and other XML-based attack vectors.</w:t>
      </w:r>
    </w:p>
    <w:p>
      <w:pPr>
        <w:pStyle w:val="Heading2"/>
      </w:pPr>
      <w:r>
        <w:t>2.7 Error Message Hygiene</w:t>
      </w:r>
    </w:p>
    <w:p>
      <w:pPr>
        <w:pStyle w:val="ListBullet"/>
      </w:pPr>
      <w:r>
        <w:t>SF API errors: Raw response bodies from the SF API are never included in exception messages. Only the HTTP status code and a generic description are surfaced.</w:t>
      </w:r>
    </w:p>
    <w:p>
      <w:pPr>
        <w:pStyle w:val="ListBullet"/>
      </w:pPr>
      <w:r>
        <w:t>OIDC errors: IAS token endpoint responses are never included in error messages. Only the status code and configuration guidance are returned.</w:t>
      </w:r>
    </w:p>
    <w:p>
      <w:pPr>
        <w:pStyle w:val="ListBullet"/>
      </w:pPr>
      <w:r>
        <w:t>This prevents accidental leakage of SF internal error details, partial data, or system information through error paths.</w:t>
      </w:r>
    </w:p>
    <w:p>
      <w:pPr>
        <w:pStyle w:val="Heading2"/>
      </w:pPr>
      <w:r>
        <w:t>2.8 Removed Tools</w:t>
      </w:r>
    </w:p>
    <w:p>
      <w:r>
        <w:t>The following tools were permanently removed because they query employee personal data entities. They cannot be re-enabled through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Removed Tools</w:t>
            </w:r>
          </w:p>
        </w:tc>
      </w:tr>
      <w:tr>
        <w:tc>
          <w:tcPr>
            <w:tcW w:type="dxa" w:w="4320"/>
          </w:tcPr>
          <w:p>
            <w:r>
              <w:rPr>
                <w:sz w:val="18"/>
              </w:rPr>
              <w:t>Employee</w:t>
            </w:r>
          </w:p>
        </w:tc>
        <w:tc>
          <w:tcPr>
            <w:tcW w:type="dxa" w:w="4320"/>
          </w:tcPr>
          <w:p>
            <w:r>
              <w:rPr>
                <w:sz w:val="18"/>
              </w:rPr>
              <w:t>search_employees, get_employee_profile, get_org_chart, get_employee_history, compare_employees</w:t>
            </w:r>
          </w:p>
        </w:tc>
      </w:tr>
      <w:tr>
        <w:tc>
          <w:tcPr>
            <w:tcW w:type="dxa" w:w="4320"/>
          </w:tcPr>
          <w:p>
            <w:r>
              <w:rPr>
                <w:sz w:val="18"/>
              </w:rPr>
              <w:t>Audit</w:t>
            </w:r>
          </w:p>
        </w:tc>
        <w:tc>
          <w:tcPr>
            <w:tcW w:type="dxa" w:w="4320"/>
          </w:tcPr>
          <w:p>
            <w:r>
              <w:rPr>
                <w:sz w:val="18"/>
              </w:rPr>
              <w:t>audit_employee_data, trace_rule_execution, validate_effective_dating</w:t>
            </w:r>
          </w:p>
        </w:tc>
      </w:tr>
      <w:tr>
        <w:tc>
          <w:tcPr>
            <w:tcW w:type="dxa" w:w="4320"/>
          </w:tcPr>
          <w:p>
            <w:r>
              <w:rPr>
                <w:sz w:val="18"/>
              </w:rPr>
              <w:t>Analytics</w:t>
            </w:r>
          </w:p>
        </w:tc>
        <w:tc>
          <w:tcPr>
            <w:tcW w:type="dxa" w:w="4320"/>
          </w:tcPr>
          <w:p>
            <w:r>
              <w:rPr>
                <w:sz w:val="18"/>
              </w:rPr>
              <w:t>get_compensation_analytics, simulate_rule_impact</w:t>
            </w:r>
          </w:p>
        </w:tc>
      </w:tr>
      <w:tr>
        <w:tc>
          <w:tcPr>
            <w:tcW w:type="dxa" w:w="4320"/>
          </w:tcPr>
          <w:p>
            <w:r>
              <w:rPr>
                <w:sz w:val="18"/>
              </w:rPr>
              <w:t>Go-Live</w:t>
            </w:r>
          </w:p>
        </w:tc>
        <w:tc>
          <w:tcPr>
            <w:tcW w:type="dxa" w:w="4320"/>
          </w:tcPr>
          <w:p>
            <w:r>
              <w:rPr>
                <w:sz w:val="18"/>
              </w:rPr>
              <w:t>run_go_live_checks, generate_reconciliation_report</w:t>
            </w:r>
          </w:p>
        </w:tc>
      </w:tr>
      <w:tr>
        <w:tc>
          <w:tcPr>
            <w:tcW w:type="dxa" w:w="4320"/>
          </w:tcPr>
          <w:p>
            <w:r>
              <w:rPr>
                <w:sz w:val="18"/>
              </w:rPr>
              <w:t>Country</w:t>
            </w:r>
          </w:p>
        </w:tc>
        <w:tc>
          <w:tcPr>
            <w:tcW w:type="dxa" w:w="4320"/>
          </w:tcPr>
          <w:p>
            <w:r>
              <w:rPr>
                <w:sz w:val="18"/>
              </w:rPr>
              <w:t>validate_country_compliance</w:t>
            </w:r>
          </w:p>
        </w:tc>
      </w:tr>
      <w:tr>
        <w:tc>
          <w:tcPr>
            <w:tcW w:type="dxa" w:w="4320"/>
          </w:tcPr>
          <w:p>
            <w:r>
              <w:rPr>
                <w:sz w:val="18"/>
              </w:rPr>
              <w:t>Migration</w:t>
            </w:r>
          </w:p>
        </w:tc>
        <w:tc>
          <w:tcPr>
            <w:tcW w:type="dxa" w:w="4320"/>
          </w:tcPr>
          <w:p>
            <w:r>
              <w:rPr>
                <w:sz w:val="18"/>
              </w:rPr>
              <w:t>reconcile_data, generate_purge_file</w:t>
            </w:r>
          </w:p>
        </w:tc>
      </w:tr>
    </w:tbl>
    <w:p/>
    <w:p>
      <w:r>
        <w:br w:type="page"/>
      </w:r>
    </w:p>
    <w:p>
      <w:pPr>
        <w:pStyle w:val="Heading1"/>
      </w:pPr>
      <w:r>
        <w:t>3. General Architecture</w:t>
      </w:r>
    </w:p>
    <w:p>
      <w:r>
        <w:t>The system consists of three layers: the MCP Client (Claude Code or Claude Desktop), the MCP Server (FastMCP running 34 configuration tools with a security enforcement layer), and the SAP SuccessFactors instance accessed via OData v2 with Bearer token authentication.</w:t>
      </w:r>
    </w:p>
    <w:p>
      <w:pPr>
        <w:pStyle w:val="Heading2"/>
      </w:pPr>
      <w:r>
        <w:t>Project Structure</w:t>
      </w:r>
    </w:p>
    <w:p>
      <w:pPr>
        <w:pStyle w:val="ListBullet"/>
      </w:pPr>
      <w:r>
        <w:t>main.py                    -- Entry point, registers 34 tools on FastMCP server</w:t>
      </w:r>
    </w:p>
    <w:p>
      <w:pPr>
        <w:pStyle w:val="ListBullet"/>
      </w:pPr>
      <w:r>
        <w:t>helpers/credentials.py     -- OIDC 2-step auth flow + token caching</w:t>
      </w:r>
    </w:p>
    <w:p>
      <w:pPr>
        <w:pStyle w:val="ListBullet"/>
      </w:pPr>
      <w:r>
        <w:t>helpers/sf_client.py       -- HTTP client + ALLOWED_ENTITIES allowlist enforcement</w:t>
      </w:r>
    </w:p>
    <w:p>
      <w:pPr>
        <w:pStyle w:val="ListBullet"/>
      </w:pPr>
      <w:r>
        <w:t>helpers/odata_utils.py     -- OData injection prevention (escape + validate)</w:t>
      </w:r>
    </w:p>
    <w:p>
      <w:pPr>
        <w:pStyle w:val="ListBullet"/>
      </w:pPr>
      <w:r>
        <w:t>helpers/nl_query_parser.py -- Natural language -&gt; OData filter (pattern matching)</w:t>
      </w:r>
    </w:p>
    <w:p>
      <w:pPr>
        <w:pStyle w:val="ListBullet"/>
      </w:pPr>
      <w:r>
        <w:t>helpers/metadata_parser.py -- EDMX/CSDL XML -&gt; structured dict (defusedxml)</w:t>
      </w:r>
    </w:p>
    <w:p>
      <w:pPr>
        <w:pStyle w:val="ListBullet"/>
      </w:pPr>
      <w:r>
        <w:t>helpers/template_parser.py -- CSV/Excel import template parser</w:t>
      </w:r>
    </w:p>
    <w:p>
      <w:pPr>
        <w:pStyle w:val="ListBullet"/>
      </w:pPr>
      <w:r>
        <w:t>helpers/credential_store.py -- Pluggable credential storage (env / GCP)</w:t>
      </w:r>
    </w:p>
    <w:p>
      <w:pPr>
        <w:pStyle w:val="ListBullet"/>
      </w:pPr>
      <w:r>
        <w:t>tools/*.py                 -- 34 tools across configuration categories</w:t>
      </w:r>
    </w:p>
    <w:p>
      <w:pPr>
        <w:pStyle w:val="ListBullet"/>
      </w:pPr>
      <w:r>
        <w:t>models/*.py                -- Pydantic v2 data models</w:t>
      </w:r>
    </w:p>
    <w:p>
      <w:pPr>
        <w:pStyle w:val="ListBullet"/>
      </w:pPr>
      <w:r>
        <w:t>knowledge/*.json           -- Static knowledge base (entities, countries, rules)</w:t>
      </w:r>
    </w:p>
    <w:p>
      <w:pPr>
        <w:pStyle w:val="ListBullet"/>
      </w:pPr>
      <w:r>
        <w:t>tests/*.py                 -- pytest test suite with HTTP mocking (respx)</w:t>
      </w:r>
    </w:p>
    <w:p>
      <w:pPr>
        <w:pStyle w:val="Heading2"/>
      </w:pPr>
      <w:r>
        <w:t>Typical Query Flow</w:t>
      </w:r>
    </w:p>
    <w:p>
      <w:r>
        <w:t>1. Consultant: "List all departments in company 1000"</w:t>
      </w:r>
    </w:p>
    <w:p>
      <w:r>
        <w:t>2. Claude sends tool call: list_foundation_objects(object_type='FODepartment', filter="company eq '1000'")</w:t>
      </w:r>
    </w:p>
    <w:p>
      <w:r>
        <w:t>3. MCP Server receives the call</w:t>
      </w:r>
    </w:p>
    <w:p>
      <w:r>
        <w:t>4. SFClient.query_odata('FODepartment', ...) called</w:t>
      </w:r>
    </w:p>
    <w:p>
      <w:r>
        <w:t>5. Entity allowlist check: 'FODepartment' is in ALLOWED_ENTITIES — request proceeds</w:t>
      </w:r>
    </w:p>
    <w:p>
      <w:r>
        <w:t>6. credentials.py obtains Bearer token (OIDC 2-step, cached)</w:t>
      </w:r>
    </w:p>
    <w:p>
      <w:r>
        <w:t>7. sf_client.py executes: GET /odata/v2/FODepartment?$filter=company eq '1000'</w:t>
      </w:r>
    </w:p>
    <w:p>
      <w:r>
        <w:t>8. SAP SF responds with Foundation Object records</w:t>
      </w:r>
    </w:p>
    <w:p>
      <w:r>
        <w:t>9. Tool formats and returns result to MCP client</w:t>
      </w:r>
    </w:p>
    <w:p>
      <w:r>
        <w:t>10. Claude presents the department list to the consultant</w:t>
      </w:r>
    </w:p>
    <w:p>
      <w:pPr>
        <w:pStyle w:val="Heading2"/>
      </w:pPr>
      <w:r>
        <w:t>Blocked Query Example</w:t>
      </w:r>
    </w:p>
    <w:p>
      <w:r>
        <w:t>1. Someone requests: get_employee_profile(user_id='admin')</w:t>
      </w:r>
    </w:p>
    <w:p>
      <w:r>
        <w:t>2. SFClient.query_odata('PerPersonal', ...) called internally</w:t>
      </w:r>
    </w:p>
    <w:p>
      <w:r>
        <w:t>3. Entity allowlist check: 'PerPersonal' is NOT in ALLOWED_ENTITIES</w:t>
      </w:r>
    </w:p>
    <w:p>
      <w:r>
        <w:t>4. SFPermissionError raised immediately — no HTTP call made</w:t>
      </w:r>
    </w:p>
    <w:p>
      <w:r>
        <w:t>5. Tool returns: {"error": "Entity 'PerPersonal' is restricted...", "allowed": false}</w:t>
      </w:r>
    </w:p>
    <w:p>
      <w:r>
        <w:t>6. The tool get_employee_profile no longer exists — it was removed</w:t>
      </w:r>
    </w:p>
    <w:p>
      <w:r>
        <w:br w:type="page"/>
      </w:r>
    </w:p>
    <w:p>
      <w:pPr>
        <w:pStyle w:val="Heading1"/>
      </w:pPr>
      <w:r>
        <w:t>4. OIDC Authentication Flow</w:t>
      </w:r>
    </w:p>
    <w:p>
      <w:r>
        <w:t>The connection to SAP SuccessFactors uses a 2-step OIDC flow through IAS (Identity Authentication Service). This is the modern authentication method that replaces direct Basic Auth.</w:t>
      </w:r>
    </w:p>
    <w:p>
      <w:pPr>
        <w:pStyle w:val="Heading2"/>
      </w:pPr>
      <w:r>
        <w:t>Step 1: Password Grant</w:t>
      </w:r>
    </w:p>
    <w:p>
      <w:pPr>
        <w:ind w:left="432"/>
      </w:pPr>
      <w:r>
        <w:rPr>
          <w:rFonts w:ascii="Courier New" w:hAnsi="Courier New"/>
          <w:color w:val="1E1E1E"/>
          <w:sz w:val="16"/>
        </w:rPr>
        <w:t>POST https://{IAS_HOST}/oauth2/token</w:t>
        <w:br/>
        <w:t>Content-Type: application/x-www-form-urlencoded</w:t>
        <w:br/>
        <w:br/>
        <w:t>grant_type=password</w:t>
        <w:br/>
        <w:t>&amp;username={SF_USER_ID}</w:t>
        <w:br/>
        <w:t>&amp;password={SF_PASSWORD}</w:t>
        <w:br/>
        <w:t>&amp;client_id={OIDC_CLIENT_ID}</w:t>
        <w:br/>
        <w:t>&amp;client_secret={OIDC_CLIENT_SECRET}</w:t>
        <w:br/>
        <w:t>&amp;scope=openid</w:t>
        <w:br/>
        <w:br/>
        <w:t>Response: { "id_token": "eyJhbGci..." }</w:t>
      </w:r>
    </w:p>
    <w:p>
      <w:pPr>
        <w:pStyle w:val="Heading2"/>
      </w:pPr>
      <w:r>
        <w:t>Step 2: JWT-Bearer Exchange</w:t>
      </w:r>
    </w:p>
    <w:p>
      <w:pPr>
        <w:ind w:left="432"/>
      </w:pPr>
      <w:r>
        <w:rPr>
          <w:rFonts w:ascii="Courier New" w:hAnsi="Courier New"/>
          <w:color w:val="1E1E1E"/>
          <w:sz w:val="16"/>
        </w:rPr>
        <w:t>POST https://{IAS_HOST}/oauth2/token</w:t>
        <w:br/>
        <w:t>Content-Type: application/x-www-form-urlencoded</w:t>
        <w:br/>
        <w:br/>
        <w:t>grant_type=urn:ietf:params:oauth:grant-type:jwt-bearer</w:t>
        <w:br/>
        <w:t>&amp;assertion={id_token_from_step_1}</w:t>
        <w:br/>
        <w:t>&amp;client_id={OIDC_CLIENT_ID}</w:t>
        <w:br/>
        <w:t>&amp;client_secret={OIDC_CLIENT_SECRET}</w:t>
        <w:br/>
        <w:t>&amp;resource=urn:sap:identity:application:provider:name:{IAS_DEPENDENCY_NAME}</w:t>
        <w:br/>
        <w:t>&amp;scope=openid</w:t>
        <w:br/>
        <w:br/>
        <w:t>Response: { "access_token": "eyJhbGci...", "expires_in": 3600 }</w:t>
      </w:r>
    </w:p>
    <w:p>
      <w:pPr>
        <w:pStyle w:val="Heading2"/>
      </w:pPr>
      <w:r>
        <w:t>Token Caching</w:t>
      </w:r>
    </w:p>
    <w:p>
      <w:pPr>
        <w:pStyle w:val="ListBullet"/>
      </w:pPr>
      <w:r>
        <w:t>Tokens are cached by tenant_id (multi-tenant support)</w:t>
      </w:r>
    </w:p>
    <w:p>
      <w:pPr>
        <w:pStyle w:val="ListBullet"/>
      </w:pPr>
      <w:r>
        <w:t>Reused until 60 seconds before expiration</w:t>
      </w:r>
    </w:p>
    <w:p>
      <w:pPr>
        <w:pStyle w:val="ListBullet"/>
      </w:pPr>
      <w:r>
        <w:t>If the token expires, the OIDC flow is automatically re-executed</w:t>
      </w:r>
    </w:p>
    <w:p>
      <w:pPr>
        <w:pStyle w:val="ListBullet"/>
      </w:pPr>
      <w:r>
        <w:t>Default token lifetime: 3600 seconds (1 hour)</w:t>
      </w:r>
    </w:p>
    <w:p>
      <w:pPr>
        <w:pStyle w:val="ListBullet"/>
      </w:pPr>
      <w:r>
        <w:t>Error messages from OIDC endpoints never include the response body (security hygiene)</w:t>
      </w:r>
    </w:p>
    <w:p>
      <w:r>
        <w:br w:type="page"/>
      </w:r>
    </w:p>
    <w:p>
      <w:pPr>
        <w:pStyle w:val="Heading1"/>
      </w:pPr>
      <w:r>
        <w:t>5. HTTP Client and Data Centers</w:t>
      </w:r>
    </w:p>
    <w:p>
      <w:pPr>
        <w:pStyle w:val="Heading2"/>
      </w:pPr>
      <w:r>
        <w:t>Data Center Resolution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DC Code</w:t>
            </w:r>
          </w:p>
        </w:tc>
        <w:tc>
          <w:tcPr>
            <w:tcW w:type="dxa" w:w="2880"/>
          </w:tcPr>
          <w:p>
            <w:r>
              <w:rPr>
                <w:b/>
                <w:sz w:val="18"/>
              </w:rPr>
              <w:t>API URL</w:t>
            </w:r>
          </w:p>
        </w:tc>
        <w:tc>
          <w:tcPr>
            <w:tcW w:type="dxa" w:w="2880"/>
          </w:tcPr>
          <w:p>
            <w:r>
              <w:rPr>
                <w:b/>
                <w:sz w:val="18"/>
              </w:rPr>
              <w:t>Region</w:t>
            </w:r>
          </w:p>
        </w:tc>
      </w:tr>
      <w:tr>
        <w:tc>
          <w:tcPr>
            <w:tcW w:type="dxa" w:w="2880"/>
          </w:tcPr>
          <w:p>
            <w:r>
              <w:rPr>
                <w:sz w:val="18"/>
              </w:rPr>
              <w:t>DC2</w:t>
            </w:r>
          </w:p>
        </w:tc>
        <w:tc>
          <w:tcPr>
            <w:tcW w:type="dxa" w:w="2880"/>
          </w:tcPr>
          <w:p>
            <w:r>
              <w:rPr>
                <w:sz w:val="18"/>
              </w:rPr>
              <w:t>https://api2.successfactors.eu</w:t>
            </w:r>
          </w:p>
        </w:tc>
        <w:tc>
          <w:tcPr>
            <w:tcW w:type="dxa" w:w="2880"/>
          </w:tcPr>
          <w:p>
            <w:r>
              <w:rPr>
                <w:sz w:val="18"/>
              </w:rPr>
              <w:t>Europe</w:t>
            </w:r>
          </w:p>
        </w:tc>
      </w:tr>
      <w:tr>
        <w:tc>
          <w:tcPr>
            <w:tcW w:type="dxa" w:w="2880"/>
          </w:tcPr>
          <w:p>
            <w:r>
              <w:rPr>
                <w:sz w:val="18"/>
              </w:rPr>
              <w:t>DC4</w:t>
            </w:r>
          </w:p>
        </w:tc>
        <w:tc>
          <w:tcPr>
            <w:tcW w:type="dxa" w:w="2880"/>
          </w:tcPr>
          <w:p>
            <w:r>
              <w:rPr>
                <w:sz w:val="18"/>
              </w:rPr>
              <w:t>https://api4.successfactors.com</w:t>
            </w:r>
          </w:p>
        </w:tc>
        <w:tc>
          <w:tcPr>
            <w:tcW w:type="dxa" w:w="2880"/>
          </w:tcPr>
          <w:p>
            <w:r>
              <w:rPr>
                <w:sz w:val="18"/>
              </w:rPr>
              <w:t>USA</w:t>
            </w:r>
          </w:p>
        </w:tc>
      </w:tr>
      <w:tr>
        <w:tc>
          <w:tcPr>
            <w:tcW w:type="dxa" w:w="2880"/>
          </w:tcPr>
          <w:p>
            <w:r>
              <w:rPr>
                <w:sz w:val="18"/>
              </w:rPr>
              <w:t>DC5</w:t>
            </w:r>
          </w:p>
        </w:tc>
        <w:tc>
          <w:tcPr>
            <w:tcW w:type="dxa" w:w="2880"/>
          </w:tcPr>
          <w:p>
            <w:r>
              <w:rPr>
                <w:sz w:val="18"/>
              </w:rPr>
              <w:t>https://api5.successfactors.eu</w:t>
            </w:r>
          </w:p>
        </w:tc>
        <w:tc>
          <w:tcPr>
            <w:tcW w:type="dxa" w:w="2880"/>
          </w:tcPr>
          <w:p>
            <w:r>
              <w:rPr>
                <w:sz w:val="18"/>
              </w:rPr>
              <w:t>Europe</w:t>
            </w:r>
          </w:p>
        </w:tc>
      </w:tr>
      <w:tr>
        <w:tc>
          <w:tcPr>
            <w:tcW w:type="dxa" w:w="2880"/>
          </w:tcPr>
          <w:p>
            <w:r>
              <w:rPr>
                <w:sz w:val="18"/>
              </w:rPr>
              <w:t>DC8</w:t>
            </w:r>
          </w:p>
        </w:tc>
        <w:tc>
          <w:tcPr>
            <w:tcW w:type="dxa" w:w="2880"/>
          </w:tcPr>
          <w:p>
            <w:r>
              <w:rPr>
                <w:sz w:val="18"/>
              </w:rPr>
              <w:t>https://api8.successfactors.com</w:t>
            </w:r>
          </w:p>
        </w:tc>
        <w:tc>
          <w:tcPr>
            <w:tcW w:type="dxa" w:w="2880"/>
          </w:tcPr>
          <w:p>
            <w:r>
              <w:rPr>
                <w:sz w:val="18"/>
              </w:rPr>
              <w:t>USA</w:t>
            </w:r>
          </w:p>
        </w:tc>
      </w:tr>
      <w:tr>
        <w:tc>
          <w:tcPr>
            <w:tcW w:type="dxa" w:w="2880"/>
          </w:tcPr>
          <w:p>
            <w:r>
              <w:rPr>
                <w:sz w:val="18"/>
              </w:rPr>
              <w:t>DC10</w:t>
            </w:r>
          </w:p>
        </w:tc>
        <w:tc>
          <w:tcPr>
            <w:tcW w:type="dxa" w:w="2880"/>
          </w:tcPr>
          <w:p>
            <w:r>
              <w:rPr>
                <w:sz w:val="18"/>
              </w:rPr>
              <w:t>https://api10.successfactors.com</w:t>
            </w:r>
          </w:p>
        </w:tc>
        <w:tc>
          <w:tcPr>
            <w:tcW w:type="dxa" w:w="2880"/>
          </w:tcPr>
          <w:p>
            <w:r>
              <w:rPr>
                <w:sz w:val="18"/>
              </w:rPr>
              <w:t>USA/APJ</w:t>
            </w:r>
          </w:p>
        </w:tc>
      </w:tr>
      <w:tr>
        <w:tc>
          <w:tcPr>
            <w:tcW w:type="dxa" w:w="2880"/>
          </w:tcPr>
          <w:p>
            <w:r>
              <w:rPr>
                <w:sz w:val="18"/>
              </w:rPr>
              <w:t>DC12</w:t>
            </w:r>
          </w:p>
        </w:tc>
        <w:tc>
          <w:tcPr>
            <w:tcW w:type="dxa" w:w="2880"/>
          </w:tcPr>
          <w:p>
            <w:r>
              <w:rPr>
                <w:sz w:val="18"/>
              </w:rPr>
              <w:t>https://api012.successfactors.eu</w:t>
            </w:r>
          </w:p>
        </w:tc>
        <w:tc>
          <w:tcPr>
            <w:tcW w:type="dxa" w:w="2880"/>
          </w:tcPr>
          <w:p>
            <w:r>
              <w:rPr>
                <w:sz w:val="18"/>
              </w:rPr>
              <w:t>Europe</w:t>
            </w:r>
          </w:p>
        </w:tc>
      </w:tr>
      <w:tr>
        <w:tc>
          <w:tcPr>
            <w:tcW w:type="dxa" w:w="2880"/>
          </w:tcPr>
          <w:p>
            <w:r>
              <w:rPr>
                <w:sz w:val="18"/>
              </w:rPr>
              <w:t>DC15</w:t>
            </w:r>
          </w:p>
        </w:tc>
        <w:tc>
          <w:tcPr>
            <w:tcW w:type="dxa" w:w="2880"/>
          </w:tcPr>
          <w:p>
            <w:r>
              <w:rPr>
                <w:sz w:val="18"/>
              </w:rPr>
              <w:t>https://api15.sapsf.cn</w:t>
            </w:r>
          </w:p>
        </w:tc>
        <w:tc>
          <w:tcPr>
            <w:tcW w:type="dxa" w:w="2880"/>
          </w:tcPr>
          <w:p>
            <w:r>
              <w:rPr>
                <w:sz w:val="18"/>
              </w:rPr>
              <w:t>China</w:t>
            </w:r>
          </w:p>
        </w:tc>
      </w:tr>
      <w:tr>
        <w:tc>
          <w:tcPr>
            <w:tcW w:type="dxa" w:w="2880"/>
          </w:tcPr>
          <w:p>
            <w:r>
              <w:rPr>
                <w:sz w:val="18"/>
              </w:rPr>
              <w:t>DC16</w:t>
            </w:r>
          </w:p>
        </w:tc>
        <w:tc>
          <w:tcPr>
            <w:tcW w:type="dxa" w:w="2880"/>
          </w:tcPr>
          <w:p>
            <w:r>
              <w:rPr>
                <w:sz w:val="18"/>
              </w:rPr>
              <w:t>https://api16.sapsf.eu</w:t>
            </w:r>
          </w:p>
        </w:tc>
        <w:tc>
          <w:tcPr>
            <w:tcW w:type="dxa" w:w="2880"/>
          </w:tcPr>
          <w:p>
            <w:r>
              <w:rPr>
                <w:sz w:val="18"/>
              </w:rPr>
              <w:t>Europe</w:t>
            </w:r>
          </w:p>
        </w:tc>
      </w:tr>
      <w:tr>
        <w:tc>
          <w:tcPr>
            <w:tcW w:type="dxa" w:w="2880"/>
          </w:tcPr>
          <w:p>
            <w:r>
              <w:rPr>
                <w:sz w:val="18"/>
              </w:rPr>
              <w:t>DC17</w:t>
            </w:r>
          </w:p>
        </w:tc>
        <w:tc>
          <w:tcPr>
            <w:tcW w:type="dxa" w:w="2880"/>
          </w:tcPr>
          <w:p>
            <w:r>
              <w:rPr>
                <w:sz w:val="18"/>
              </w:rPr>
              <w:t>https://api17.sapsf.com</w:t>
            </w:r>
          </w:p>
        </w:tc>
        <w:tc>
          <w:tcPr>
            <w:tcW w:type="dxa" w:w="2880"/>
          </w:tcPr>
          <w:p>
            <w:r>
              <w:rPr>
                <w:sz w:val="18"/>
              </w:rPr>
              <w:t>USA</w:t>
            </w:r>
          </w:p>
        </w:tc>
      </w:tr>
      <w:tr>
        <w:tc>
          <w:tcPr>
            <w:tcW w:type="dxa" w:w="2880"/>
          </w:tcPr>
          <w:p>
            <w:r>
              <w:rPr>
                <w:sz w:val="18"/>
              </w:rPr>
              <w:t>DC18</w:t>
            </w:r>
          </w:p>
        </w:tc>
        <w:tc>
          <w:tcPr>
            <w:tcW w:type="dxa" w:w="2880"/>
          </w:tcPr>
          <w:p>
            <w:r>
              <w:rPr>
                <w:sz w:val="18"/>
              </w:rPr>
              <w:t>https://api18.sapsf.com</w:t>
            </w:r>
          </w:p>
        </w:tc>
        <w:tc>
          <w:tcPr>
            <w:tcW w:type="dxa" w:w="2880"/>
          </w:tcPr>
          <w:p>
            <w:r>
              <w:rPr>
                <w:sz w:val="18"/>
              </w:rPr>
              <w:t>USA</w:t>
            </w:r>
          </w:p>
        </w:tc>
      </w:tr>
      <w:tr>
        <w:tc>
          <w:tcPr>
            <w:tcW w:type="dxa" w:w="2880"/>
          </w:tcPr>
          <w:p>
            <w:r>
              <w:rPr>
                <w:sz w:val="18"/>
              </w:rPr>
              <w:t>DC19</w:t>
            </w:r>
          </w:p>
        </w:tc>
        <w:tc>
          <w:tcPr>
            <w:tcW w:type="dxa" w:w="2880"/>
          </w:tcPr>
          <w:p>
            <w:r>
              <w:rPr>
                <w:sz w:val="18"/>
              </w:rPr>
              <w:t>https://api19.sapsf.com</w:t>
            </w:r>
          </w:p>
        </w:tc>
        <w:tc>
          <w:tcPr>
            <w:tcW w:type="dxa" w:w="2880"/>
          </w:tcPr>
          <w:p>
            <w:r>
              <w:rPr>
                <w:sz w:val="18"/>
              </w:rPr>
              <w:t>APJ</w:t>
            </w:r>
          </w:p>
        </w:tc>
      </w:tr>
      <w:tr>
        <w:tc>
          <w:tcPr>
            <w:tcW w:type="dxa" w:w="2880"/>
          </w:tcPr>
          <w:p>
            <w:r>
              <w:rPr>
                <w:sz w:val="18"/>
              </w:rPr>
              <w:t>DC22</w:t>
            </w:r>
          </w:p>
        </w:tc>
        <w:tc>
          <w:tcPr>
            <w:tcW w:type="dxa" w:w="2880"/>
          </w:tcPr>
          <w:p>
            <w:r>
              <w:rPr>
                <w:sz w:val="18"/>
              </w:rPr>
              <w:t>https://api22.sapsf.com</w:t>
            </w:r>
          </w:p>
        </w:tc>
        <w:tc>
          <w:tcPr>
            <w:tcW w:type="dxa" w:w="2880"/>
          </w:tcPr>
          <w:p>
            <w:r>
              <w:rPr>
                <w:sz w:val="18"/>
              </w:rPr>
              <w:t>KSA</w:t>
            </w:r>
          </w:p>
        </w:tc>
      </w:tr>
      <w:tr>
        <w:tc>
          <w:tcPr>
            <w:tcW w:type="dxa" w:w="2880"/>
          </w:tcPr>
          <w:p>
            <w:r>
              <w:rPr>
                <w:sz w:val="18"/>
              </w:rPr>
              <w:t>DC23</w:t>
            </w:r>
          </w:p>
        </w:tc>
        <w:tc>
          <w:tcPr>
            <w:tcW w:type="dxa" w:w="2880"/>
          </w:tcPr>
          <w:p>
            <w:r>
              <w:rPr>
                <w:sz w:val="18"/>
              </w:rPr>
              <w:t>https://api23.sapsf.com</w:t>
            </w:r>
          </w:p>
        </w:tc>
        <w:tc>
          <w:tcPr>
            <w:tcW w:type="dxa" w:w="2880"/>
          </w:tcPr>
          <w:p>
            <w:r>
              <w:rPr>
                <w:sz w:val="18"/>
              </w:rPr>
              <w:t>APJ</w:t>
            </w:r>
          </w:p>
        </w:tc>
      </w:tr>
      <w:tr>
        <w:tc>
          <w:tcPr>
            <w:tcW w:type="dxa" w:w="2880"/>
          </w:tcPr>
          <w:p>
            <w:r>
              <w:rPr>
                <w:sz w:val="18"/>
              </w:rPr>
              <w:t>DC42</w:t>
            </w:r>
          </w:p>
        </w:tc>
        <w:tc>
          <w:tcPr>
            <w:tcW w:type="dxa" w:w="2880"/>
          </w:tcPr>
          <w:p>
            <w:r>
              <w:rPr>
                <w:sz w:val="18"/>
              </w:rPr>
              <w:t>https://api42.sapsf.com</w:t>
            </w:r>
          </w:p>
        </w:tc>
        <w:tc>
          <w:tcPr>
            <w:tcW w:type="dxa" w:w="2880"/>
          </w:tcPr>
          <w:p>
            <w:r>
              <w:rPr>
                <w:sz w:val="18"/>
              </w:rPr>
              <w:t>USA</w:t>
            </w:r>
          </w:p>
        </w:tc>
      </w:tr>
      <w:tr>
        <w:tc>
          <w:tcPr>
            <w:tcW w:type="dxa" w:w="2880"/>
          </w:tcPr>
          <w:p>
            <w:r>
              <w:rPr>
                <w:sz w:val="18"/>
              </w:rPr>
              <w:t>DC44</w:t>
            </w:r>
          </w:p>
        </w:tc>
        <w:tc>
          <w:tcPr>
            <w:tcW w:type="dxa" w:w="2880"/>
          </w:tcPr>
          <w:p>
            <w:r>
              <w:rPr>
                <w:sz w:val="18"/>
              </w:rPr>
              <w:t>https://api44.sapsf.com</w:t>
            </w:r>
          </w:p>
        </w:tc>
        <w:tc>
          <w:tcPr>
            <w:tcW w:type="dxa" w:w="2880"/>
          </w:tcPr>
          <w:p>
            <w:r>
              <w:rPr>
                <w:sz w:val="18"/>
              </w:rPr>
              <w:t>APJ</w:t>
            </w:r>
          </w:p>
        </w:tc>
      </w:tr>
    </w:tbl>
    <w:p/>
    <w:p>
      <w:r>
        <w:t>Also supports Preview variants (e.g., DC8_PREVIEW → api8preview.sapsf.com) and Sales Demo variants. If a full URL is provided, it is used directly.</w:t>
      </w:r>
    </w:p>
    <w:p>
      <w:pPr>
        <w:pStyle w:val="Heading2"/>
      </w:pPr>
      <w:r>
        <w:t>HTTP Client Methods (with Entity Allowlist)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Endpoint</w:t>
            </w:r>
          </w:p>
        </w:tc>
        <w:tc>
          <w:tcPr>
            <w:tcW w:type="dxa" w:w="2880"/>
          </w:tcPr>
          <w:p>
            <w:r>
              <w:rPr>
                <w:b/>
                <w:sz w:val="18"/>
              </w:rPr>
              <w:t>Allowlist Enforced?</w:t>
            </w:r>
          </w:p>
        </w:tc>
      </w:tr>
      <w:tr>
        <w:tc>
          <w:tcPr>
            <w:tcW w:type="dxa" w:w="2880"/>
          </w:tcPr>
          <w:p>
            <w:r>
              <w:rPr>
                <w:sz w:val="18"/>
              </w:rPr>
              <w:t>get_metadata(entity)</w:t>
            </w:r>
          </w:p>
        </w:tc>
        <w:tc>
          <w:tcPr>
            <w:tcW w:type="dxa" w:w="2880"/>
          </w:tcPr>
          <w:p>
            <w:r>
              <w:rPr>
                <w:sz w:val="18"/>
              </w:rPr>
              <w:t>GET /odata/v2/{entity}/$metadata</w:t>
            </w:r>
          </w:p>
        </w:tc>
        <w:tc>
          <w:tcPr>
            <w:tcW w:type="dxa" w:w="2880"/>
          </w:tcPr>
          <w:p>
            <w:r>
              <w:rPr>
                <w:sz w:val="18"/>
              </w:rPr>
              <w:t>No — schema only</w:t>
            </w:r>
          </w:p>
        </w:tc>
      </w:tr>
      <w:tr>
        <w:tc>
          <w:tcPr>
            <w:tcW w:type="dxa" w:w="2880"/>
          </w:tcPr>
          <w:p>
            <w:r>
              <w:rPr>
                <w:sz w:val="18"/>
              </w:rPr>
              <w:t>get_metadata()</w:t>
            </w:r>
          </w:p>
        </w:tc>
        <w:tc>
          <w:tcPr>
            <w:tcW w:type="dxa" w:w="2880"/>
          </w:tcPr>
          <w:p>
            <w:r>
              <w:rPr>
                <w:sz w:val="18"/>
              </w:rPr>
              <w:t>GET /odata/v2/$metadata</w:t>
            </w:r>
          </w:p>
        </w:tc>
        <w:tc>
          <w:tcPr>
            <w:tcW w:type="dxa" w:w="2880"/>
          </w:tcPr>
          <w:p>
            <w:r>
              <w:rPr>
                <w:sz w:val="18"/>
              </w:rPr>
              <w:t>No — schema only</w:t>
            </w:r>
          </w:p>
        </w:tc>
      </w:tr>
      <w:tr>
        <w:tc>
          <w:tcPr>
            <w:tcW w:type="dxa" w:w="2880"/>
          </w:tcPr>
          <w:p>
            <w:r>
              <w:rPr>
                <w:sz w:val="18"/>
              </w:rPr>
              <w:t>query_odata(entity, params)</w:t>
            </w:r>
          </w:p>
        </w:tc>
        <w:tc>
          <w:tcPr>
            <w:tcW w:type="dxa" w:w="2880"/>
          </w:tcPr>
          <w:p>
            <w:r>
              <w:rPr>
                <w:sz w:val="18"/>
              </w:rPr>
              <w:t>GET /odata/v2/{entity}?params</w:t>
            </w:r>
          </w:p>
        </w:tc>
        <w:tc>
          <w:tcPr>
            <w:tcW w:type="dxa" w:w="2880"/>
          </w:tcPr>
          <w:p>
            <w:r>
              <w:rPr>
                <w:sz w:val="18"/>
              </w:rPr>
              <w:t>YES</w:t>
            </w:r>
          </w:p>
        </w:tc>
      </w:tr>
      <w:tr>
        <w:tc>
          <w:tcPr>
            <w:tcW w:type="dxa" w:w="2880"/>
          </w:tcPr>
          <w:p>
            <w:r>
              <w:rPr>
                <w:sz w:val="18"/>
              </w:rPr>
              <w:t>get_picklist(id)</w:t>
            </w:r>
          </w:p>
        </w:tc>
        <w:tc>
          <w:tcPr>
            <w:tcW w:type="dxa" w:w="2880"/>
          </w:tcPr>
          <w:p>
            <w:r>
              <w:rPr>
                <w:sz w:val="18"/>
              </w:rPr>
              <w:t>GET /odata/v2/Picklist?...</w:t>
            </w:r>
          </w:p>
        </w:tc>
        <w:tc>
          <w:tcPr>
            <w:tcW w:type="dxa" w:w="2880"/>
          </w:tcPr>
          <w:p>
            <w:r>
              <w:rPr>
                <w:sz w:val="18"/>
              </w:rPr>
              <w:t>YES (Picklist is allowed)</w:t>
            </w:r>
          </w:p>
        </w:tc>
      </w:tr>
      <w:tr>
        <w:tc>
          <w:tcPr>
            <w:tcW w:type="dxa" w:w="2880"/>
          </w:tcPr>
          <w:p>
            <w:r>
              <w:rPr>
                <w:sz w:val="18"/>
              </w:rPr>
              <w:t>post_odata(entity, payload)</w:t>
            </w:r>
          </w:p>
        </w:tc>
        <w:tc>
          <w:tcPr>
            <w:tcW w:type="dxa" w:w="2880"/>
          </w:tcPr>
          <w:p>
            <w:r>
              <w:rPr>
                <w:sz w:val="18"/>
              </w:rPr>
              <w:t>POST /odata/v2/{entity}</w:t>
            </w:r>
          </w:p>
        </w:tc>
        <w:tc>
          <w:tcPr>
            <w:tcW w:type="dxa" w:w="2880"/>
          </w:tcPr>
          <w:p>
            <w:r>
              <w:rPr>
                <w:sz w:val="18"/>
              </w:rPr>
              <w:t>YES</w:t>
            </w:r>
          </w:p>
        </w:tc>
      </w:tr>
      <w:tr>
        <w:tc>
          <w:tcPr>
            <w:tcW w:type="dxa" w:w="2880"/>
          </w:tcPr>
          <w:p>
            <w:r>
              <w:rPr>
                <w:sz w:val="18"/>
              </w:rPr>
              <w:t>put_odata(entity, key, payload)</w:t>
            </w:r>
          </w:p>
        </w:tc>
        <w:tc>
          <w:tcPr>
            <w:tcW w:type="dxa" w:w="2880"/>
          </w:tcPr>
          <w:p>
            <w:r>
              <w:rPr>
                <w:sz w:val="18"/>
              </w:rPr>
              <w:t>PUT /odata/v2/{entity}(key)</w:t>
            </w:r>
          </w:p>
        </w:tc>
        <w:tc>
          <w:tcPr>
            <w:tcW w:type="dxa" w:w="2880"/>
          </w:tcPr>
          <w:p>
            <w:r>
              <w:rPr>
                <w:sz w:val="18"/>
              </w:rPr>
              <w:t>YES</w:t>
            </w:r>
          </w:p>
        </w:tc>
      </w:tr>
      <w:tr>
        <w:tc>
          <w:tcPr>
            <w:tcW w:type="dxa" w:w="2880"/>
          </w:tcPr>
          <w:p>
            <w:r>
              <w:rPr>
                <w:sz w:val="18"/>
              </w:rPr>
              <w:t>upsert_odata(entity, payload)</w:t>
            </w:r>
          </w:p>
        </w:tc>
        <w:tc>
          <w:tcPr>
            <w:tcW w:type="dxa" w:w="2880"/>
          </w:tcPr>
          <w:p>
            <w:r>
              <w:rPr>
                <w:sz w:val="18"/>
              </w:rPr>
              <w:t>POST /odata/v2/{entity}</w:t>
            </w:r>
          </w:p>
        </w:tc>
        <w:tc>
          <w:tcPr>
            <w:tcW w:type="dxa" w:w="2880"/>
          </w:tcPr>
          <w:p>
            <w:r>
              <w:rPr>
                <w:sz w:val="18"/>
              </w:rPr>
              <w:t>YES</w:t>
            </w:r>
          </w:p>
        </w:tc>
      </w:tr>
    </w:tbl>
    <w:p/>
    <w:p>
      <w:pPr>
        <w:pStyle w:val="Heading2"/>
      </w:pPr>
      <w:r>
        <w:t>Concurrency Control</w:t>
      </w:r>
    </w:p>
    <w:p>
      <w:r>
        <w:t>Each tool module uses asyncio.Semaphore(5) to limit concurrent requests to the SF API, respecting SAP rate limits. Max 5 concurrent requests per tool execution.</w:t>
      </w:r>
    </w:p>
    <w:p>
      <w:r>
        <w:br w:type="page"/>
      </w:r>
    </w:p>
    <w:p>
      <w:pPr>
        <w:pStyle w:val="Heading1"/>
      </w:pPr>
      <w:r>
        <w:t>6. 34 Tools Catalog</w:t>
      </w:r>
    </w:p>
    <w:p>
      <w:r>
        <w:t>All tools operate exclusively on configuration entities. Employee data entities are blocked at the infrastructure level (see Section 2).</w:t>
      </w:r>
    </w:p>
    <w:p>
      <w:pPr>
        <w:pStyle w:val="Heading2"/>
      </w:pPr>
      <w:r>
        <w:t>Discovery (4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1</w:t>
            </w:r>
          </w:p>
        </w:tc>
        <w:tc>
          <w:tcPr>
            <w:tcW w:type="dxa" w:w="2880"/>
          </w:tcPr>
          <w:p>
            <w:r>
              <w:rPr>
                <w:sz w:val="18"/>
              </w:rPr>
              <w:t>get_entity_metadata</w:t>
            </w:r>
          </w:p>
        </w:tc>
        <w:tc>
          <w:tcPr>
            <w:tcW w:type="dxa" w:w="2880"/>
          </w:tcPr>
          <w:p>
            <w:r>
              <w:rPr>
                <w:sz w:val="18"/>
              </w:rPr>
              <w:t>Explore fields, types, and properties of any allowed OData entity</w:t>
            </w:r>
          </w:p>
        </w:tc>
      </w:tr>
      <w:tr>
        <w:tc>
          <w:tcPr>
            <w:tcW w:type="dxa" w:w="2880"/>
          </w:tcPr>
          <w:p>
            <w:r>
              <w:rPr>
                <w:sz w:val="18"/>
              </w:rPr>
              <w:t>2</w:t>
            </w:r>
          </w:p>
        </w:tc>
        <w:tc>
          <w:tcPr>
            <w:tcW w:type="dxa" w:w="2880"/>
          </w:tcPr>
          <w:p>
            <w:r>
              <w:rPr>
                <w:sz w:val="18"/>
              </w:rPr>
              <w:t>list_entities</w:t>
            </w:r>
          </w:p>
        </w:tc>
        <w:tc>
          <w:tcPr>
            <w:tcW w:type="dxa" w:w="2880"/>
          </w:tcPr>
          <w:p>
            <w:r>
              <w:rPr>
                <w:sz w:val="18"/>
              </w:rPr>
              <w:t>List all available configuration entities in the instance</w:t>
            </w:r>
          </w:p>
        </w:tc>
      </w:tr>
      <w:tr>
        <w:tc>
          <w:tcPr>
            <w:tcW w:type="dxa" w:w="2880"/>
          </w:tcPr>
          <w:p>
            <w:r>
              <w:rPr>
                <w:sz w:val="18"/>
              </w:rPr>
              <w:t>3</w:t>
            </w:r>
          </w:p>
        </w:tc>
        <w:tc>
          <w:tcPr>
            <w:tcW w:type="dxa" w:w="2880"/>
          </w:tcPr>
          <w:p>
            <w:r>
              <w:rPr>
                <w:sz w:val="18"/>
              </w:rPr>
              <w:t>get_picklist_values</w:t>
            </w:r>
          </w:p>
        </w:tc>
        <w:tc>
          <w:tcPr>
            <w:tcW w:type="dxa" w:w="2880"/>
          </w:tcPr>
          <w:p>
            <w:r>
              <w:rPr>
                <w:sz w:val="18"/>
              </w:rPr>
              <w:t>Valid values for picklists and dropdowns</w:t>
            </w:r>
          </w:p>
        </w:tc>
      </w:tr>
      <w:tr>
        <w:tc>
          <w:tcPr>
            <w:tcW w:type="dxa" w:w="2880"/>
          </w:tcPr>
          <w:p>
            <w:r>
              <w:rPr>
                <w:sz w:val="18"/>
              </w:rPr>
              <w:t>4</w:t>
            </w:r>
          </w:p>
        </w:tc>
        <w:tc>
          <w:tcPr>
            <w:tcW w:type="dxa" w:w="2880"/>
          </w:tcPr>
          <w:p>
            <w:r>
              <w:rPr>
                <w:sz w:val="18"/>
              </w:rPr>
              <w:t>query_odata</w:t>
            </w:r>
          </w:p>
        </w:tc>
        <w:tc>
          <w:tcPr>
            <w:tcW w:type="dxa" w:w="2880"/>
          </w:tcPr>
          <w:p>
            <w:r>
              <w:rPr>
                <w:sz w:val="18"/>
              </w:rPr>
              <w:t>Flexible OData query — entity allowlist enforced</w:t>
            </w:r>
          </w:p>
        </w:tc>
      </w:tr>
    </w:tbl>
    <w:p/>
    <w:p>
      <w:pPr>
        <w:pStyle w:val="Heading2"/>
      </w:pPr>
      <w:r>
        <w:t>Business Rules (4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5</w:t>
            </w:r>
          </w:p>
        </w:tc>
        <w:tc>
          <w:tcPr>
            <w:tcW w:type="dxa" w:w="2880"/>
          </w:tcPr>
          <w:p>
            <w:r>
              <w:rPr>
                <w:sz w:val="18"/>
              </w:rPr>
              <w:t>validate_rule_fields</w:t>
            </w:r>
          </w:p>
        </w:tc>
        <w:tc>
          <w:tcPr>
            <w:tcW w:type="dxa" w:w="2880"/>
          </w:tcPr>
          <w:p>
            <w:r>
              <w:rPr>
                <w:sz w:val="18"/>
              </w:rPr>
              <w:t>Verify fields exist and are editable on the entity</w:t>
            </w:r>
          </w:p>
        </w:tc>
      </w:tr>
      <w:tr>
        <w:tc>
          <w:tcPr>
            <w:tcW w:type="dxa" w:w="2880"/>
          </w:tcPr>
          <w:p>
            <w:r>
              <w:rPr>
                <w:sz w:val="18"/>
              </w:rPr>
              <w:t>6</w:t>
            </w:r>
          </w:p>
        </w:tc>
        <w:tc>
          <w:tcPr>
            <w:tcW w:type="dxa" w:w="2880"/>
          </w:tcPr>
          <w:p>
            <w:r>
              <w:rPr>
                <w:sz w:val="18"/>
              </w:rPr>
              <w:t>generate_rule_spec</w:t>
            </w:r>
          </w:p>
        </w:tc>
        <w:tc>
          <w:tcPr>
            <w:tcW w:type="dxa" w:w="2880"/>
          </w:tcPr>
          <w:p>
            <w:r>
              <w:rPr>
                <w:sz w:val="18"/>
              </w:rPr>
              <w:t>Convert NL requirement into JSON rule specification</w:t>
            </w:r>
          </w:p>
        </w:tc>
      </w:tr>
      <w:tr>
        <w:tc>
          <w:tcPr>
            <w:tcW w:type="dxa" w:w="2880"/>
          </w:tcPr>
          <w:p>
            <w:r>
              <w:rPr>
                <w:sz w:val="18"/>
              </w:rPr>
              <w:t>7</w:t>
            </w:r>
          </w:p>
        </w:tc>
        <w:tc>
          <w:tcPr>
            <w:tcW w:type="dxa" w:w="2880"/>
          </w:tcPr>
          <w:p>
            <w:r>
              <w:rPr>
                <w:sz w:val="18"/>
              </w:rPr>
              <w:t>generate_rule_doc</w:t>
            </w:r>
          </w:p>
        </w:tc>
        <w:tc>
          <w:tcPr>
            <w:tcW w:type="dxa" w:w="2880"/>
          </w:tcPr>
          <w:p>
            <w:r>
              <w:rPr>
                <w:sz w:val="18"/>
              </w:rPr>
              <w:t>Generate step-by-step guide for Rule Editor implementation</w:t>
            </w:r>
          </w:p>
        </w:tc>
      </w:tr>
      <w:tr>
        <w:tc>
          <w:tcPr>
            <w:tcW w:type="dxa" w:w="2880"/>
          </w:tcPr>
          <w:p>
            <w:r>
              <w:rPr>
                <w:sz w:val="18"/>
              </w:rPr>
              <w:t>8</w:t>
            </w:r>
          </w:p>
        </w:tc>
        <w:tc>
          <w:tcPr>
            <w:tcW w:type="dxa" w:w="2880"/>
          </w:tcPr>
          <w:p>
            <w:r>
              <w:rPr>
                <w:sz w:val="18"/>
              </w:rPr>
              <w:t>generate_rule_test</w:t>
            </w:r>
          </w:p>
        </w:tc>
        <w:tc>
          <w:tcPr>
            <w:tcW w:type="dxa" w:w="2880"/>
          </w:tcPr>
          <w:p>
            <w:r>
              <w:rPr>
                <w:sz w:val="18"/>
              </w:rPr>
              <w:t>Generate test case matrix (positive, negative, edge cases)</w:t>
            </w:r>
          </w:p>
        </w:tc>
      </w:tr>
    </w:tbl>
    <w:p/>
    <w:p>
      <w:pPr>
        <w:pStyle w:val="Heading2"/>
      </w:pPr>
      <w:r>
        <w:t>Organization (3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9</w:t>
            </w:r>
          </w:p>
        </w:tc>
        <w:tc>
          <w:tcPr>
            <w:tcW w:type="dxa" w:w="2880"/>
          </w:tcPr>
          <w:p>
            <w:r>
              <w:rPr>
                <w:sz w:val="18"/>
              </w:rPr>
              <w:t>get_org_structure</w:t>
            </w:r>
          </w:p>
        </w:tc>
        <w:tc>
          <w:tcPr>
            <w:tcW w:type="dxa" w:w="2880"/>
          </w:tcPr>
          <w:p>
            <w:r>
              <w:rPr>
                <w:sz w:val="18"/>
              </w:rPr>
              <w:t>Org hierarchy by level (company, dept, location)</w:t>
            </w:r>
          </w:p>
        </w:tc>
      </w:tr>
      <w:tr>
        <w:tc>
          <w:tcPr>
            <w:tcW w:type="dxa" w:w="2880"/>
          </w:tcPr>
          <w:p>
            <w:r>
              <w:rPr>
                <w:sz w:val="18"/>
              </w:rPr>
              <w:t>10</w:t>
            </w:r>
          </w:p>
        </w:tc>
        <w:tc>
          <w:tcPr>
            <w:tcW w:type="dxa" w:w="2880"/>
          </w:tcPr>
          <w:p>
            <w:r>
              <w:rPr>
                <w:sz w:val="18"/>
              </w:rPr>
              <w:t>get_position_details</w:t>
            </w:r>
          </w:p>
        </w:tc>
        <w:tc>
          <w:tcPr>
            <w:tcW w:type="dxa" w:w="2880"/>
          </w:tcPr>
          <w:p>
            <w:r>
              <w:rPr>
                <w:sz w:val="18"/>
              </w:rPr>
              <w:t>Position Management — structural fields only</w:t>
            </w:r>
          </w:p>
        </w:tc>
      </w:tr>
      <w:tr>
        <w:tc>
          <w:tcPr>
            <w:tcW w:type="dxa" w:w="2880"/>
          </w:tcPr>
          <w:p>
            <w:r>
              <w:rPr>
                <w:sz w:val="18"/>
              </w:rPr>
              <w:t>11</w:t>
            </w:r>
          </w:p>
        </w:tc>
        <w:tc>
          <w:tcPr>
            <w:tcW w:type="dxa" w:w="2880"/>
          </w:tcPr>
          <w:p>
            <w:r>
              <w:rPr>
                <w:sz w:val="18"/>
              </w:rPr>
              <w:t>list_foundation_objects</w:t>
            </w:r>
          </w:p>
        </w:tc>
        <w:tc>
          <w:tcPr>
            <w:tcW w:type="dxa" w:w="2880"/>
          </w:tcPr>
          <w:p>
            <w:r>
              <w:rPr>
                <w:sz w:val="18"/>
              </w:rPr>
              <w:t>Any Foundation Object with filters</w:t>
            </w:r>
          </w:p>
        </w:tc>
      </w:tr>
    </w:tbl>
    <w:p/>
    <w:p>
      <w:pPr>
        <w:pStyle w:val="Heading2"/>
      </w:pPr>
      <w:r>
        <w:t>Configuration (2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12</w:t>
            </w:r>
          </w:p>
        </w:tc>
        <w:tc>
          <w:tcPr>
            <w:tcW w:type="dxa" w:w="2880"/>
          </w:tcPr>
          <w:p>
            <w:r>
              <w:rPr>
                <w:sz w:val="18"/>
              </w:rPr>
              <w:t>list_business_rules</w:t>
            </w:r>
          </w:p>
        </w:tc>
        <w:tc>
          <w:tcPr>
            <w:tcW w:type="dxa" w:w="2880"/>
          </w:tcPr>
          <w:p>
            <w:r>
              <w:rPr>
                <w:sz w:val="18"/>
              </w:rPr>
              <w:t>List configured rules (requires RuleHeaderBean enabled)</w:t>
            </w:r>
          </w:p>
        </w:tc>
      </w:tr>
      <w:tr>
        <w:tc>
          <w:tcPr>
            <w:tcW w:type="dxa" w:w="2880"/>
          </w:tcPr>
          <w:p>
            <w:r>
              <w:rPr>
                <w:sz w:val="18"/>
              </w:rPr>
              <w:t>13</w:t>
            </w:r>
          </w:p>
        </w:tc>
        <w:tc>
          <w:tcPr>
            <w:tcW w:type="dxa" w:w="2880"/>
          </w:tcPr>
          <w:p>
            <w:r>
              <w:rPr>
                <w:sz w:val="18"/>
              </w:rPr>
              <w:t>get_permission_roles</w:t>
            </w:r>
          </w:p>
        </w:tc>
        <w:tc>
          <w:tcPr>
            <w:tcW w:type="dxa" w:w="2880"/>
          </w:tcPr>
          <w:p>
            <w:r>
              <w:rPr>
                <w:sz w:val="18"/>
              </w:rPr>
              <w:t>RBP and dynamic roles</w:t>
            </w:r>
          </w:p>
        </w:tc>
      </w:tr>
    </w:tbl>
    <w:p/>
    <w:p>
      <w:pPr>
        <w:pStyle w:val="Heading2"/>
      </w:pPr>
      <w:r>
        <w:t>Data Import (3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14</w:t>
            </w:r>
          </w:p>
        </w:tc>
        <w:tc>
          <w:tcPr>
            <w:tcW w:type="dxa" w:w="2880"/>
          </w:tcPr>
          <w:p>
            <w:r>
              <w:rPr>
                <w:sz w:val="18"/>
              </w:rPr>
              <w:t>validate_import_template</w:t>
            </w:r>
          </w:p>
        </w:tc>
        <w:tc>
          <w:tcPr>
            <w:tcW w:type="dxa" w:w="2880"/>
          </w:tcPr>
          <w:p>
            <w:r>
              <w:rPr>
                <w:sz w:val="18"/>
              </w:rPr>
              <w:t>Validate CSV headers against entity metadata</w:t>
            </w:r>
          </w:p>
        </w:tc>
      </w:tr>
      <w:tr>
        <w:tc>
          <w:tcPr>
            <w:tcW w:type="dxa" w:w="2880"/>
          </w:tcPr>
          <w:p>
            <w:r>
              <w:rPr>
                <w:sz w:val="18"/>
              </w:rPr>
              <w:t>15</w:t>
            </w:r>
          </w:p>
        </w:tc>
        <w:tc>
          <w:tcPr>
            <w:tcW w:type="dxa" w:w="2880"/>
          </w:tcPr>
          <w:p>
            <w:r>
              <w:rPr>
                <w:sz w:val="18"/>
              </w:rPr>
              <w:t>generate_import_template</w:t>
            </w:r>
          </w:p>
        </w:tc>
        <w:tc>
          <w:tcPr>
            <w:tcW w:type="dxa" w:w="2880"/>
          </w:tcPr>
          <w:p>
            <w:r>
              <w:rPr>
                <w:sz w:val="18"/>
              </w:rPr>
              <w:t>Generate CSV template with correct fields</w:t>
            </w:r>
          </w:p>
        </w:tc>
      </w:tr>
      <w:tr>
        <w:tc>
          <w:tcPr>
            <w:tcW w:type="dxa" w:w="2880"/>
          </w:tcPr>
          <w:p>
            <w:r>
              <w:rPr>
                <w:sz w:val="18"/>
              </w:rPr>
              <w:t>16</w:t>
            </w:r>
          </w:p>
        </w:tc>
        <w:tc>
          <w:tcPr>
            <w:tcW w:type="dxa" w:w="2880"/>
          </w:tcPr>
          <w:p>
            <w:r>
              <w:rPr>
                <w:sz w:val="18"/>
              </w:rPr>
              <w:t>execute_upsert</w:t>
            </w:r>
          </w:p>
        </w:tc>
        <w:tc>
          <w:tcPr>
            <w:tcW w:type="dxa" w:w="2880"/>
          </w:tcPr>
          <w:p>
            <w:r>
              <w:rPr>
                <w:sz w:val="18"/>
              </w:rPr>
              <w:t>Execute record upsert for allowed entities (dry_run=True by default)</w:t>
            </w:r>
          </w:p>
        </w:tc>
      </w:tr>
    </w:tbl>
    <w:p/>
    <w:p>
      <w:pPr>
        <w:pStyle w:val="Heading2"/>
      </w:pPr>
      <w:r>
        <w:t>Analytics (1 tool)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17</w:t>
            </w:r>
          </w:p>
        </w:tc>
        <w:tc>
          <w:tcPr>
            <w:tcW w:type="dxa" w:w="2880"/>
          </w:tcPr>
          <w:p>
            <w:r>
              <w:rPr>
                <w:sz w:val="18"/>
              </w:rPr>
              <w:t>get_headcount</w:t>
            </w:r>
          </w:p>
        </w:tc>
        <w:tc>
          <w:tcPr>
            <w:tcW w:type="dxa" w:w="2880"/>
          </w:tcPr>
          <w:p>
            <w:r>
              <w:rPr>
                <w:sz w:val="18"/>
              </w:rPr>
              <w:t>Headcount grouped by org field (department, company, location) — aggregated counts only</w:t>
            </w:r>
          </w:p>
        </w:tc>
      </w:tr>
    </w:tbl>
    <w:p/>
    <w:p>
      <w:pPr>
        <w:pStyle w:val="Heading2"/>
      </w:pPr>
      <w:r>
        <w:t>Instance Comparison (4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18</w:t>
            </w:r>
          </w:p>
        </w:tc>
        <w:tc>
          <w:tcPr>
            <w:tcW w:type="dxa" w:w="2880"/>
          </w:tcPr>
          <w:p>
            <w:r>
              <w:rPr>
                <w:sz w:val="18"/>
              </w:rPr>
              <w:t>compare_instance_config</w:t>
            </w:r>
          </w:p>
        </w:tc>
        <w:tc>
          <w:tcPr>
            <w:tcW w:type="dxa" w:w="2880"/>
          </w:tcPr>
          <w:p>
            <w:r>
              <w:rPr>
                <w:sz w:val="18"/>
              </w:rPr>
              <w:t>Compare entity metadata between DEV / QA / PROD</w:t>
            </w:r>
          </w:p>
        </w:tc>
      </w:tr>
      <w:tr>
        <w:tc>
          <w:tcPr>
            <w:tcW w:type="dxa" w:w="2880"/>
          </w:tcPr>
          <w:p>
            <w:r>
              <w:rPr>
                <w:sz w:val="18"/>
              </w:rPr>
              <w:t>19</w:t>
            </w:r>
          </w:p>
        </w:tc>
        <w:tc>
          <w:tcPr>
            <w:tcW w:type="dxa" w:w="2880"/>
          </w:tcPr>
          <w:p>
            <w:r>
              <w:rPr>
                <w:sz w:val="18"/>
              </w:rPr>
              <w:t>compare_picklists</w:t>
            </w:r>
          </w:p>
        </w:tc>
        <w:tc>
          <w:tcPr>
            <w:tcW w:type="dxa" w:w="2880"/>
          </w:tcPr>
          <w:p>
            <w:r>
              <w:rPr>
                <w:sz w:val="18"/>
              </w:rPr>
              <w:t>Picklist differences between instances</w:t>
            </w:r>
          </w:p>
        </w:tc>
      </w:tr>
      <w:tr>
        <w:tc>
          <w:tcPr>
            <w:tcW w:type="dxa" w:w="2880"/>
          </w:tcPr>
          <w:p>
            <w:r>
              <w:rPr>
                <w:sz w:val="18"/>
              </w:rPr>
              <w:t>20</w:t>
            </w:r>
          </w:p>
        </w:tc>
        <w:tc>
          <w:tcPr>
            <w:tcW w:type="dxa" w:w="2880"/>
          </w:tcPr>
          <w:p>
            <w:r>
              <w:rPr>
                <w:sz w:val="18"/>
              </w:rPr>
              <w:t>compare_business_rules</w:t>
            </w:r>
          </w:p>
        </w:tc>
        <w:tc>
          <w:tcPr>
            <w:tcW w:type="dxa" w:w="2880"/>
          </w:tcPr>
          <w:p>
            <w:r>
              <w:rPr>
                <w:sz w:val="18"/>
              </w:rPr>
              <w:t>Rule differences between instances</w:t>
            </w:r>
          </w:p>
        </w:tc>
      </w:tr>
      <w:tr>
        <w:tc>
          <w:tcPr>
            <w:tcW w:type="dxa" w:w="2880"/>
          </w:tcPr>
          <w:p>
            <w:r>
              <w:rPr>
                <w:sz w:val="18"/>
              </w:rPr>
              <w:t>21</w:t>
            </w:r>
          </w:p>
        </w:tc>
        <w:tc>
          <w:tcPr>
            <w:tcW w:type="dxa" w:w="2880"/>
          </w:tcPr>
          <w:p>
            <w:r>
              <w:rPr>
                <w:sz w:val="18"/>
              </w:rPr>
              <w:t>compare_foundation_objects</w:t>
            </w:r>
          </w:p>
        </w:tc>
        <w:tc>
          <w:tcPr>
            <w:tcW w:type="dxa" w:w="2880"/>
          </w:tcPr>
          <w:p>
            <w:r>
              <w:rPr>
                <w:sz w:val="18"/>
              </w:rPr>
              <w:t>Compare Foundation Object records</w:t>
            </w:r>
          </w:p>
        </w:tc>
      </w:tr>
    </w:tbl>
    <w:p/>
    <w:p>
      <w:pPr>
        <w:pStyle w:val="Heading2"/>
      </w:pPr>
      <w:r>
        <w:t>Audit (2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22</w:t>
            </w:r>
          </w:p>
        </w:tc>
        <w:tc>
          <w:tcPr>
            <w:tcW w:type="dxa" w:w="2880"/>
          </w:tcPr>
          <w:p>
            <w:r>
              <w:rPr>
                <w:sz w:val="18"/>
              </w:rPr>
              <w:t>find_data_anomalies</w:t>
            </w:r>
          </w:p>
        </w:tc>
        <w:tc>
          <w:tcPr>
            <w:tcW w:type="dxa" w:w="2880"/>
          </w:tcPr>
          <w:p>
            <w:r>
              <w:rPr>
                <w:sz w:val="18"/>
              </w:rPr>
              <w:t>Detect blanks, duplicates, orphans — configuration entities only</w:t>
            </w:r>
          </w:p>
        </w:tc>
      </w:tr>
      <w:tr>
        <w:tc>
          <w:tcPr>
            <w:tcW w:type="dxa" w:w="2880"/>
          </w:tcPr>
          <w:p>
            <w:r>
              <w:rPr>
                <w:sz w:val="18"/>
              </w:rPr>
              <w:t>23</w:t>
            </w:r>
          </w:p>
        </w:tc>
        <w:tc>
          <w:tcPr>
            <w:tcW w:type="dxa" w:w="2880"/>
          </w:tcPr>
          <w:p>
            <w:r>
              <w:rPr>
                <w:sz w:val="18"/>
              </w:rPr>
              <w:t>check_permission_access</w:t>
            </w:r>
          </w:p>
        </w:tc>
        <w:tc>
          <w:tcPr>
            <w:tcW w:type="dxa" w:w="2880"/>
          </w:tcPr>
          <w:p>
            <w:r>
              <w:rPr>
                <w:sz w:val="18"/>
              </w:rPr>
              <w:t>Verify RBP permissions (who can view/edit what)</w:t>
            </w:r>
          </w:p>
        </w:tc>
      </w:tr>
    </w:tbl>
    <w:p/>
    <w:p>
      <w:pPr>
        <w:pStyle w:val="Heading2"/>
      </w:pPr>
      <w:r>
        <w:t>Documentation (4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24</w:t>
            </w:r>
          </w:p>
        </w:tc>
        <w:tc>
          <w:tcPr>
            <w:tcW w:type="dxa" w:w="2880"/>
          </w:tcPr>
          <w:p>
            <w:r>
              <w:rPr>
                <w:sz w:val="18"/>
              </w:rPr>
              <w:t>generate_functional_spec</w:t>
            </w:r>
          </w:p>
        </w:tc>
        <w:tc>
          <w:tcPr>
            <w:tcW w:type="dxa" w:w="2880"/>
          </w:tcPr>
          <w:p>
            <w:r>
              <w:rPr>
                <w:sz w:val="18"/>
              </w:rPr>
              <w:t>Functional specification for a configuration entity</w:t>
            </w:r>
          </w:p>
        </w:tc>
      </w:tr>
      <w:tr>
        <w:tc>
          <w:tcPr>
            <w:tcW w:type="dxa" w:w="2880"/>
          </w:tcPr>
          <w:p>
            <w:r>
              <w:rPr>
                <w:sz w:val="18"/>
              </w:rPr>
              <w:t>25</w:t>
            </w:r>
          </w:p>
        </w:tc>
        <w:tc>
          <w:tcPr>
            <w:tcW w:type="dxa" w:w="2880"/>
          </w:tcPr>
          <w:p>
            <w:r>
              <w:rPr>
                <w:sz w:val="18"/>
              </w:rPr>
              <w:t>generate_cutover_checklist</w:t>
            </w:r>
          </w:p>
        </w:tc>
        <w:tc>
          <w:tcPr>
            <w:tcW w:type="dxa" w:w="2880"/>
          </w:tcPr>
          <w:p>
            <w:r>
              <w:rPr>
                <w:sz w:val="18"/>
              </w:rPr>
              <w:t>Ordered checklist by dependencies</w:t>
            </w:r>
          </w:p>
        </w:tc>
      </w:tr>
      <w:tr>
        <w:tc>
          <w:tcPr>
            <w:tcW w:type="dxa" w:w="2880"/>
          </w:tcPr>
          <w:p>
            <w:r>
              <w:rPr>
                <w:sz w:val="18"/>
              </w:rPr>
              <w:t>26</w:t>
            </w:r>
          </w:p>
        </w:tc>
        <w:tc>
          <w:tcPr>
            <w:tcW w:type="dxa" w:w="2880"/>
          </w:tcPr>
          <w:p>
            <w:r>
              <w:rPr>
                <w:sz w:val="18"/>
              </w:rPr>
              <w:t>generate_data_dictionary</w:t>
            </w:r>
          </w:p>
        </w:tc>
        <w:tc>
          <w:tcPr>
            <w:tcW w:type="dxa" w:w="2880"/>
          </w:tcPr>
          <w:p>
            <w:r>
              <w:rPr>
                <w:sz w:val="18"/>
              </w:rPr>
              <w:t>Field catalog for multiple entities</w:t>
            </w:r>
          </w:p>
        </w:tc>
      </w:tr>
      <w:tr>
        <w:tc>
          <w:tcPr>
            <w:tcW w:type="dxa" w:w="2880"/>
          </w:tcPr>
          <w:p>
            <w:r>
              <w:rPr>
                <w:sz w:val="18"/>
              </w:rPr>
              <w:t>27</w:t>
            </w:r>
          </w:p>
        </w:tc>
        <w:tc>
          <w:tcPr>
            <w:tcW w:type="dxa" w:w="2880"/>
          </w:tcPr>
          <w:p>
            <w:r>
              <w:rPr>
                <w:sz w:val="18"/>
              </w:rPr>
              <w:t>generate_test_script</w:t>
            </w:r>
          </w:p>
        </w:tc>
        <w:tc>
          <w:tcPr>
            <w:tcW w:type="dxa" w:w="2880"/>
          </w:tcPr>
          <w:p>
            <w:r>
              <w:rPr>
                <w:sz w:val="18"/>
              </w:rPr>
              <w:t>End-to-end test procedures</w:t>
            </w:r>
          </w:p>
        </w:tc>
      </w:tr>
    </w:tbl>
    <w:p/>
    <w:p>
      <w:pPr>
        <w:pStyle w:val="Heading2"/>
      </w:pPr>
      <w:r>
        <w:t>Migration (2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28</w:t>
            </w:r>
          </w:p>
        </w:tc>
        <w:tc>
          <w:tcPr>
            <w:tcW w:type="dxa" w:w="2880"/>
          </w:tcPr>
          <w:p>
            <w:r>
              <w:rPr>
                <w:sz w:val="18"/>
              </w:rPr>
              <w:t>validate_migration_file</w:t>
            </w:r>
          </w:p>
        </w:tc>
        <w:tc>
          <w:tcPr>
            <w:tcW w:type="dxa" w:w="2880"/>
          </w:tcPr>
          <w:p>
            <w:r>
              <w:rPr>
                <w:sz w:val="18"/>
              </w:rPr>
              <w:t>Deep CSV validation (headers, types, FK, picklists)</w:t>
            </w:r>
          </w:p>
        </w:tc>
      </w:tr>
      <w:tr>
        <w:tc>
          <w:tcPr>
            <w:tcW w:type="dxa" w:w="2880"/>
          </w:tcPr>
          <w:p>
            <w:r>
              <w:rPr>
                <w:sz w:val="18"/>
              </w:rPr>
              <w:t>29</w:t>
            </w:r>
          </w:p>
        </w:tc>
        <w:tc>
          <w:tcPr>
            <w:tcW w:type="dxa" w:w="2880"/>
          </w:tcPr>
          <w:p>
            <w:r>
              <w:rPr>
                <w:sz w:val="18"/>
              </w:rPr>
              <w:t>generate_migration_sequence</w:t>
            </w:r>
          </w:p>
        </w:tc>
        <w:tc>
          <w:tcPr>
            <w:tcW w:type="dxa" w:w="2880"/>
          </w:tcPr>
          <w:p>
            <w:r>
              <w:rPr>
                <w:sz w:val="18"/>
              </w:rPr>
              <w:t>Load order by dependencies (topological sort)</w:t>
            </w:r>
          </w:p>
        </w:tc>
      </w:tr>
    </w:tbl>
    <w:p/>
    <w:p>
      <w:pPr>
        <w:pStyle w:val="Heading2"/>
      </w:pPr>
      <w:r>
        <w:t>Country-Specific (2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30</w:t>
            </w:r>
          </w:p>
        </w:tc>
        <w:tc>
          <w:tcPr>
            <w:tcW w:type="dxa" w:w="2880"/>
          </w:tcPr>
          <w:p>
            <w:r>
              <w:rPr>
                <w:sz w:val="18"/>
              </w:rPr>
              <w:t>get_country_specific_fields</w:t>
            </w:r>
          </w:p>
        </w:tc>
        <w:tc>
          <w:tcPr>
            <w:tcW w:type="dxa" w:w="2880"/>
          </w:tcPr>
          <w:p>
            <w:r>
              <w:rPr>
                <w:sz w:val="18"/>
              </w:rPr>
              <w:t>Country-specific field requirements template</w:t>
            </w:r>
          </w:p>
        </w:tc>
      </w:tr>
      <w:tr>
        <w:tc>
          <w:tcPr>
            <w:tcW w:type="dxa" w:w="2880"/>
          </w:tcPr>
          <w:p>
            <w:r>
              <w:rPr>
                <w:sz w:val="18"/>
              </w:rPr>
              <w:t>31</w:t>
            </w:r>
          </w:p>
        </w:tc>
        <w:tc>
          <w:tcPr>
            <w:tcW w:type="dxa" w:w="2880"/>
          </w:tcPr>
          <w:p>
            <w:r>
              <w:rPr>
                <w:sz w:val="18"/>
              </w:rPr>
              <w:t>generate_country_config_guide</w:t>
            </w:r>
          </w:p>
        </w:tc>
        <w:tc>
          <w:tcPr>
            <w:tcW w:type="dxa" w:w="2880"/>
          </w:tcPr>
          <w:p>
            <w:r>
              <w:rPr>
                <w:sz w:val="18"/>
              </w:rPr>
              <w:t>Configuration guide for country setup</w:t>
            </w:r>
          </w:p>
        </w:tc>
      </w:tr>
    </w:tbl>
    <w:p/>
    <w:p>
      <w:pPr>
        <w:pStyle w:val="Heading2"/>
      </w:pPr>
      <w:r>
        <w:t>MDF Objects (3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Tool</w:t>
            </w:r>
          </w:p>
        </w:tc>
        <w:tc>
          <w:tcPr>
            <w:tcW w:type="dxa" w:w="2880"/>
          </w:tcPr>
          <w:p>
            <w:r>
              <w:rPr>
                <w:b/>
                <w:sz w:val="18"/>
              </w:rPr>
              <w:t>Description</w:t>
            </w:r>
          </w:p>
        </w:tc>
      </w:tr>
      <w:tr>
        <w:tc>
          <w:tcPr>
            <w:tcW w:type="dxa" w:w="2880"/>
          </w:tcPr>
          <w:p>
            <w:r>
              <w:rPr>
                <w:sz w:val="18"/>
              </w:rPr>
              <w:t>32</w:t>
            </w:r>
          </w:p>
        </w:tc>
        <w:tc>
          <w:tcPr>
            <w:tcW w:type="dxa" w:w="2880"/>
          </w:tcPr>
          <w:p>
            <w:r>
              <w:rPr>
                <w:sz w:val="18"/>
              </w:rPr>
              <w:t>get_mdf_object_definition</w:t>
            </w:r>
          </w:p>
        </w:tc>
        <w:tc>
          <w:tcPr>
            <w:tcW w:type="dxa" w:w="2880"/>
          </w:tcPr>
          <w:p>
            <w:r>
              <w:rPr>
                <w:sz w:val="18"/>
              </w:rPr>
              <w:t>Custom MDF object schema (schema only, no records)</w:t>
            </w:r>
          </w:p>
        </w:tc>
      </w:tr>
      <w:tr>
        <w:tc>
          <w:tcPr>
            <w:tcW w:type="dxa" w:w="2880"/>
          </w:tcPr>
          <w:p>
            <w:r>
              <w:rPr>
                <w:sz w:val="18"/>
              </w:rPr>
              <w:t>33</w:t>
            </w:r>
          </w:p>
        </w:tc>
        <w:tc>
          <w:tcPr>
            <w:tcW w:type="dxa" w:w="2880"/>
          </w:tcPr>
          <w:p>
            <w:r>
              <w:rPr>
                <w:sz w:val="18"/>
              </w:rPr>
              <w:t>generate_mdf_import_template</w:t>
            </w:r>
          </w:p>
        </w:tc>
        <w:tc>
          <w:tcPr>
            <w:tcW w:type="dxa" w:w="2880"/>
          </w:tcPr>
          <w:p>
            <w:r>
              <w:rPr>
                <w:sz w:val="18"/>
              </w:rPr>
              <w:t>CSV template for MDF object import</w:t>
            </w:r>
          </w:p>
        </w:tc>
      </w:tr>
      <w:tr>
        <w:tc>
          <w:tcPr>
            <w:tcW w:type="dxa" w:w="2880"/>
          </w:tcPr>
          <w:p>
            <w:r>
              <w:rPr>
                <w:sz w:val="18"/>
              </w:rPr>
              <w:t>34</w:t>
            </w:r>
          </w:p>
        </w:tc>
        <w:tc>
          <w:tcPr>
            <w:tcW w:type="dxa" w:w="2880"/>
          </w:tcPr>
          <w:p>
            <w:r>
              <w:rPr>
                <w:sz w:val="18"/>
              </w:rPr>
              <w:t>list_mdf_objects</w:t>
            </w:r>
          </w:p>
        </w:tc>
        <w:tc>
          <w:tcPr>
            <w:tcW w:type="dxa" w:w="2880"/>
          </w:tcPr>
          <w:p>
            <w:r>
              <w:rPr>
                <w:sz w:val="18"/>
              </w:rPr>
              <w:t>MDF object inventory (custom/standard)</w:t>
            </w:r>
          </w:p>
        </w:tc>
      </w:tr>
    </w:tbl>
    <w:p/>
    <w:p>
      <w:r>
        <w:br w:type="page"/>
      </w:r>
    </w:p>
    <w:p>
      <w:pPr>
        <w:pStyle w:val="Heading1"/>
      </w:pPr>
      <w:r>
        <w:t>7. How to Connect to an SF Instance</w:t>
      </w:r>
    </w:p>
    <w:p>
      <w:pPr>
        <w:pStyle w:val="Heading2"/>
      </w:pPr>
      <w:r>
        <w:t>SAP Prerequisites</w:t>
      </w:r>
    </w:p>
    <w:p>
      <w:pPr>
        <w:pStyle w:val="ListNumber"/>
      </w:pPr>
      <w:r>
        <w:t>IAS (Identity Authentication Service) configured with trust toward the SF instance</w:t>
      </w:r>
    </w:p>
    <w:p>
      <w:pPr>
        <w:pStyle w:val="ListNumber"/>
      </w:pPr>
      <w:r>
        <w:t>OIDC Application registered in IAS with Client ID and Client Secret</w:t>
      </w:r>
    </w:p>
    <w:p>
      <w:pPr>
        <w:pStyle w:val="ListNumber"/>
      </w:pPr>
      <w:r>
        <w:t>Dependency configured in IAS pointing to the SF instance</w:t>
      </w:r>
    </w:p>
    <w:p>
      <w:pPr>
        <w:pStyle w:val="ListNumber"/>
      </w:pPr>
      <w:r>
        <w:t>API User in SF with configuration-level OData permissions (see section 8)</w:t>
      </w:r>
    </w:p>
    <w:p>
      <w:pPr>
        <w:pStyle w:val="Heading2"/>
      </w:pPr>
      <w:r>
        <w:t>7.1 Obtain IAS Credentials</w:t>
      </w:r>
    </w:p>
    <w:p>
      <w:pPr>
        <w:pStyle w:val="ListNumber"/>
      </w:pPr>
      <w:r>
        <w:t>Access the IAS admin console: https://{your-tenant}.accounts.ondemand.com/admin</w:t>
      </w:r>
    </w:p>
    <w:p>
      <w:pPr>
        <w:pStyle w:val="ListNumber"/>
      </w:pPr>
      <w:r>
        <w:t>Go to Applications &amp; Resources &gt; Applications</w:t>
      </w:r>
    </w:p>
    <w:p>
      <w:pPr>
        <w:pStyle w:val="ListNumber"/>
      </w:pPr>
      <w:r>
        <w:t>Create or select the application that has trust with SF</w:t>
      </w:r>
    </w:p>
    <w:p>
      <w:pPr>
        <w:pStyle w:val="ListNumber"/>
      </w:pPr>
      <w:r>
        <w:t>Go to Client Authentication &gt; Secrets and generate a Client ID + Secret</w:t>
      </w:r>
    </w:p>
    <w:p>
      <w:pPr>
        <w:pStyle w:val="ListNumber"/>
      </w:pPr>
      <w:r>
        <w:t>Under Dependencies, verify the dependency toward SF exists (note the name)</w:t>
      </w:r>
    </w:p>
    <w:p>
      <w:pPr>
        <w:pStyle w:val="Heading2"/>
      </w:pPr>
      <w:r>
        <w:t>7.2 Configure the .env File</w:t>
      </w:r>
    </w:p>
    <w:p>
      <w:r>
        <w:t>Create a .env file in the project root (never commit this file to version control):</w:t>
      </w:r>
    </w:p>
    <w:p>
      <w:pPr>
        <w:pStyle w:val="ListBullet"/>
      </w:pPr>
      <w:r>
        <w:t>SF_API_HOST=https://api8preview.sapsf.com    # API URL or DC code</w:t>
      </w:r>
    </w:p>
    <w:p>
      <w:pPr>
        <w:pStyle w:val="ListBullet"/>
      </w:pPr>
      <w:r>
        <w:t>SF_COMPANY_ID=MyCompanyID                     # Instance Company ID</w:t>
      </w:r>
    </w:p>
    <w:p>
      <w:pPr>
        <w:pStyle w:val="ListBullet"/>
      </w:pPr>
      <w:r>
        <w:t>SF_USER_ID=myAdminUser                        # User with API permissions</w:t>
      </w:r>
    </w:p>
    <w:p>
      <w:pPr>
        <w:pStyle w:val="ListBullet"/>
      </w:pPr>
      <w:r>
        <w:t>IAS_HOST=my-tenant.accounts.ondemand.com      # IAS host (without https://)</w:t>
      </w:r>
    </w:p>
    <w:p>
      <w:pPr>
        <w:pStyle w:val="ListBullet"/>
      </w:pPr>
      <w:r>
        <w:t>OIDC_CLIENT_ID=xxxxxxxx-xxxx-xxxx-xxxx-xxx    # Client ID from IAS</w:t>
      </w:r>
    </w:p>
    <w:p>
      <w:pPr>
        <w:pStyle w:val="ListBullet"/>
      </w:pPr>
      <w:r>
        <w:t>OIDC_CLIENT_SECRET=my-client-secret            # Client Secret</w:t>
      </w:r>
    </w:p>
    <w:p>
      <w:pPr>
        <w:pStyle w:val="ListBullet"/>
      </w:pPr>
      <w:r>
        <w:t>IAS_DEPENDENCY_NAME=SF_DEPENDENCY              # Dependency name in IAS</w:t>
      </w:r>
    </w:p>
    <w:p>
      <w:pPr>
        <w:pStyle w:val="ListBullet"/>
      </w:pPr>
      <w:r>
        <w:t>SF_PASSWORD=my-password                        # User password</w:t>
      </w:r>
    </w:p>
    <w:p>
      <w:pPr>
        <w:pStyle w:val="Heading2"/>
      </w:pPr>
      <w:r>
        <w:t>7.3 Connect the MCP Server</w:t>
      </w:r>
    </w:p>
    <w:p>
      <w:pPr>
        <w:pStyle w:val="Heading3"/>
      </w:pPr>
      <w:r>
        <w:t>Option A: Claude Code (recommended)</w:t>
      </w:r>
    </w:p>
    <w:p>
      <w:r>
        <w:t>The .mcp.json file in the project root is already configured. Claude Code automatically detects this file and starts the MCP server.</w:t>
      </w:r>
    </w:p>
    <w:p>
      <w:pPr>
        <w:pStyle w:val="Heading3"/>
      </w:pPr>
      <w:r>
        <w:t>Option B: Claude Desktop</w:t>
      </w:r>
    </w:p>
    <w:p>
      <w:r>
        <w:t>Add an entry to claude_desktop_config.json with the command "uv", args ["run", "python", "main.py"], and the project directory as cwd.</w:t>
      </w:r>
    </w:p>
    <w:p>
      <w:pPr>
        <w:pStyle w:val="Heading3"/>
      </w:pPr>
      <w:r>
        <w:t>Option C: Manual execution (stdio)</w:t>
      </w:r>
    </w:p>
    <w:p>
      <w:pPr>
        <w:ind w:left="432"/>
      </w:pPr>
      <w:r>
        <w:rPr>
          <w:rFonts w:ascii="Courier New" w:hAnsi="Courier New"/>
          <w:color w:val="1E1E1E"/>
          <w:sz w:val="16"/>
        </w:rPr>
        <w:t>uv run python main.py</w:t>
      </w:r>
    </w:p>
    <w:p>
      <w:pPr>
        <w:pStyle w:val="Heading3"/>
      </w:pPr>
      <w:r>
        <w:t>Option D: SSE (for web integration)</w:t>
      </w:r>
    </w:p>
    <w:p>
      <w:pPr>
        <w:ind w:left="432"/>
      </w:pPr>
      <w:r>
        <w:rPr>
          <w:rFonts w:ascii="Courier New" w:hAnsi="Courier New"/>
          <w:color w:val="1E1E1E"/>
          <w:sz w:val="16"/>
        </w:rPr>
        <w:t>MCP_TRANSPORT=sse uv run python main.py</w:t>
      </w:r>
    </w:p>
    <w:p>
      <w:pPr>
        <w:pStyle w:val="Heading2"/>
      </w:pPr>
      <w:r>
        <w:t>7.4 Compare Multiple Instances</w:t>
      </w:r>
    </w:p>
    <w:p>
      <w:r>
        <w:t>Comparison tools accept override parameters per instance. Each instance requires its own set of IAS credentials.</w:t>
      </w:r>
    </w:p>
    <w:p>
      <w:pPr>
        <w:ind w:left="432"/>
      </w:pPr>
      <w:r>
        <w:rPr>
          <w:rFonts w:ascii="Courier New" w:hAnsi="Courier New"/>
          <w:color w:val="1E1E1E"/>
          <w:sz w:val="16"/>
        </w:rPr>
        <w:t>compare_instance_config(</w:t>
        <w:br/>
        <w:t xml:space="preserve">  entity='FODepartment',</w:t>
        <w:br/>
        <w:t xml:space="preserve">  instance_a_dc='api8preview.sapsf.com',   # DEV</w:t>
        <w:br/>
        <w:t xml:space="preserve">  instance_a_user='adminDEV',</w:t>
        <w:br/>
        <w:t xml:space="preserve">  instance_a_password='...',</w:t>
        <w:br/>
        <w:t xml:space="preserve">  instance_b_dc='api4.successfactors.com',  # PROD</w:t>
        <w:br/>
        <w:t xml:space="preserve">  instance_b_user='adminPROD',</w:t>
        <w:br/>
        <w:t xml:space="preserve">  instance_b_password='...'</w:t>
        <w:br/>
        <w:t>)</w:t>
      </w:r>
    </w:p>
    <w:p>
      <w:r>
        <w:br w:type="page"/>
      </w:r>
    </w:p>
    <w:p>
      <w:pPr>
        <w:pStyle w:val="Heading1"/>
      </w:pPr>
      <w:r>
        <w:t>8. Required Permissions in SAP SuccessFactors</w:t>
      </w:r>
    </w:p>
    <w:p>
      <w:r>
        <w:t>Because this MCP only accesses configuration entities, a much more limited permission set is required compared to a full-access tool.</w:t>
      </w:r>
    </w:p>
    <w:p>
      <w:pPr>
        <w:pStyle w:val="Heading2"/>
      </w:pPr>
      <w:r>
        <w:t>Minimum (configuration read-only)</w:t>
      </w:r>
    </w:p>
    <w:p>
      <w:r>
        <w:t>Administrator Permissions (RBP):</w:t>
      </w:r>
    </w:p>
    <w:p>
      <w:pPr>
        <w:pStyle w:val="ListBullet"/>
      </w:pPr>
      <w:r>
        <w:t>Manage Business Configuration &gt; Foundation Objects (View)</w:t>
      </w:r>
    </w:p>
    <w:p>
      <w:pPr>
        <w:pStyle w:val="ListBullet"/>
      </w:pPr>
      <w:r>
        <w:t>Manage Business Configuration &gt; Picklists (View)</w:t>
      </w:r>
    </w:p>
    <w:p>
      <w:pPr>
        <w:pStyle w:val="ListBullet"/>
      </w:pPr>
      <w:r>
        <w:t>Manage Business Configuration &gt; Business Rules (View)</w:t>
      </w:r>
    </w:p>
    <w:p>
      <w:pPr>
        <w:pStyle w:val="ListBullet"/>
      </w:pPr>
      <w:r>
        <w:t>Position Management (View)</w:t>
      </w:r>
    </w:p>
    <w:p>
      <w:pPr>
        <w:pStyle w:val="ListBullet"/>
      </w:pPr>
      <w:r>
        <w:t>Manage Role-Based Permissions (View)</w:t>
      </w:r>
    </w:p>
    <w:p>
      <w:r>
        <w:t>Tools enabled: Discovery, Organization, Configuration, Instance Comparison, Documentation, Analytics (headcount only), MDF schemas</w:t>
      </w:r>
    </w:p>
    <w:p>
      <w:pPr>
        <w:pStyle w:val="Heading2"/>
      </w:pPr>
      <w:r>
        <w:t>Full Configuration Access (recommended for consultants)</w:t>
      </w:r>
    </w:p>
    <w:p>
      <w:r>
        <w:t>Everything above, plus:</w:t>
      </w:r>
    </w:p>
    <w:p>
      <w:pPr>
        <w:pStyle w:val="ListBullet"/>
      </w:pPr>
      <w:r>
        <w:t>Configure Object Definitions (View) — for MDF object schemas</w:t>
      </w:r>
    </w:p>
    <w:p>
      <w:pPr>
        <w:pStyle w:val="ListBullet"/>
      </w:pPr>
      <w:r>
        <w:t>Import/Export Data (View + Edit) — for execute_upsert (dry_run is default)</w:t>
      </w:r>
    </w:p>
    <w:p>
      <w:pPr>
        <w:pStyle w:val="ListBullet"/>
      </w:pPr>
      <w:r>
        <w:t>Manage Business Configuration &gt; All areas (View)</w:t>
      </w:r>
    </w:p>
    <w:p>
      <w:r>
        <w:t>Additional tools: Data Import, Migration, Business Rules generation, all Documentation tools</w:t>
      </w:r>
    </w:p>
    <w:p>
      <w:pPr>
        <w:pStyle w:val="Heading2"/>
      </w:pPr>
      <w:r>
        <w:t>What is NOT Required</w:t>
      </w:r>
    </w:p>
    <w:p>
      <w:r>
        <w:t>The following permissions are not needed and should NOT be granted to the API user used by this MCP. Granting them does not enable access — the entity allowlist blocks them regardless — but the principle of least privilege should be followed:</w:t>
      </w:r>
    </w:p>
    <w:p>
      <w:pPr>
        <w:pStyle w:val="ListBullet"/>
      </w:pPr>
      <w:r>
        <w:t>Employee Information (View/Edit)</w:t>
      </w:r>
    </w:p>
    <w:p>
      <w:pPr>
        <w:pStyle w:val="ListBullet"/>
      </w:pPr>
      <w:r>
        <w:t>Job Information (View/Edit)</w:t>
      </w:r>
    </w:p>
    <w:p>
      <w:pPr>
        <w:pStyle w:val="ListBullet"/>
      </w:pPr>
      <w:r>
        <w:t>Compensation Information (View/Edit)</w:t>
      </w:r>
    </w:p>
    <w:p>
      <w:pPr>
        <w:pStyle w:val="ListBullet"/>
      </w:pPr>
      <w:r>
        <w:t>Personal Information (View/Edit)</w:t>
      </w:r>
    </w:p>
    <w:p>
      <w:pPr>
        <w:pStyle w:val="ListBullet"/>
      </w:pPr>
      <w:r>
        <w:t>Email / Phone / Address Information (View/Edit)</w:t>
      </w:r>
    </w:p>
    <w:p>
      <w:pPr>
        <w:pStyle w:val="ListBullet"/>
      </w:pPr>
      <w:r>
        <w:t>National ID Information (View/Edit)</w:t>
      </w:r>
    </w:p>
    <w:p>
      <w:pPr>
        <w:pStyle w:val="ListBullet"/>
      </w:pPr>
      <w:r>
        <w:t>Global Information / PerGlobalInfo (View/Edit)</w:t>
      </w:r>
    </w:p>
    <w:p>
      <w:pPr>
        <w:pStyle w:val="ListBullet"/>
      </w:pPr>
      <w:r>
        <w:t>Time Account / Time Off (View/Edit)</w:t>
      </w:r>
    </w:p>
    <w:p>
      <w:pPr>
        <w:pStyle w:val="Heading2"/>
      </w:pPr>
      <w:r>
        <w:t>Known Limitation: RuleHeaderBean</w:t>
      </w:r>
    </w:p>
    <w:p>
      <w:r>
        <w:t>The RuleHeaderBean entity (Business Rules from the Rule Engine) is not available via OData v2 in all instances. Check in Admin Center &gt; OData API Data Dictionary. If it does not appear, list_business_rules cannot read rules via API.</w:t>
      </w:r>
    </w:p>
    <w:p>
      <w:r>
        <w:br w:type="page"/>
      </w:r>
    </w:p>
    <w:p>
      <w:pPr>
        <w:pStyle w:val="Heading1"/>
      </w:pPr>
      <w:r>
        <w:t>9. Known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Limitation</w:t>
            </w:r>
          </w:p>
        </w:tc>
        <w:tc>
          <w:tcPr>
            <w:tcW w:type="dxa" w:w="2880"/>
          </w:tcPr>
          <w:p>
            <w:r>
              <w:rPr>
                <w:b/>
                <w:sz w:val="18"/>
              </w:rPr>
              <w:t>Impact</w:t>
            </w:r>
          </w:p>
        </w:tc>
        <w:tc>
          <w:tcPr>
            <w:tcW w:type="dxa" w:w="2880"/>
          </w:tcPr>
          <w:p>
            <w:r>
              <w:rPr>
                <w:b/>
                <w:sz w:val="18"/>
              </w:rPr>
              <w:t>Notes</w:t>
            </w:r>
          </w:p>
        </w:tc>
      </w:tr>
      <w:tr>
        <w:tc>
          <w:tcPr>
            <w:tcW w:type="dxa" w:w="2880"/>
          </w:tcPr>
          <w:p>
            <w:r>
              <w:rPr>
                <w:sz w:val="18"/>
              </w:rPr>
              <w:t>Entity allowlist is hardcoded</w:t>
            </w:r>
          </w:p>
        </w:tc>
        <w:tc>
          <w:tcPr>
            <w:tcW w:type="dxa" w:w="2880"/>
          </w:tcPr>
          <w:p>
            <w:r>
              <w:rPr>
                <w:sz w:val="18"/>
              </w:rPr>
              <w:t>Cannot be overridden at runtime</w:t>
            </w:r>
          </w:p>
        </w:tc>
        <w:tc>
          <w:tcPr>
            <w:tcW w:type="dxa" w:w="2880"/>
          </w:tcPr>
          <w:p>
            <w:r>
              <w:rPr>
                <w:sz w:val="18"/>
              </w:rPr>
              <w:t>By design — prevents accidental exposure</w:t>
            </w:r>
          </w:p>
        </w:tc>
      </w:tr>
      <w:tr>
        <w:tc>
          <w:tcPr>
            <w:tcW w:type="dxa" w:w="2880"/>
          </w:tcPr>
          <w:p>
            <w:r>
              <w:rPr>
                <w:sz w:val="18"/>
              </w:rPr>
              <w:t>RuleHeaderBean not in all instances</w:t>
            </w:r>
          </w:p>
        </w:tc>
        <w:tc>
          <w:tcPr>
            <w:tcW w:type="dxa" w:w="2880"/>
          </w:tcPr>
          <w:p>
            <w:r>
              <w:rPr>
                <w:sz w:val="18"/>
              </w:rPr>
              <w:t>list_business_rules may fail</w:t>
            </w:r>
          </w:p>
        </w:tc>
        <w:tc>
          <w:tcPr>
            <w:tcW w:type="dxa" w:w="2880"/>
          </w:tcPr>
          <w:p>
            <w:r>
              <w:rPr>
                <w:sz w:val="18"/>
              </w:rPr>
              <w:t>Check OData API Data Dictionary in Admin Center</w:t>
            </w:r>
          </w:p>
        </w:tc>
      </w:tr>
      <w:tr>
        <w:tc>
          <w:tcPr>
            <w:tcW w:type="dxa" w:w="2880"/>
          </w:tcPr>
          <w:p>
            <w:r>
              <w:rPr>
                <w:sz w:val="18"/>
              </w:rPr>
              <w:t>OData v2: no $apply/groupby</w:t>
            </w:r>
          </w:p>
        </w:tc>
        <w:tc>
          <w:tcPr>
            <w:tcW w:type="dxa" w:w="2880"/>
          </w:tcPr>
          <w:p>
            <w:r>
              <w:rPr>
                <w:sz w:val="18"/>
              </w:rPr>
              <w:t>get_headcount aggregates client-side</w:t>
            </w:r>
          </w:p>
        </w:tc>
        <w:tc>
          <w:tcPr>
            <w:tcW w:type="dxa" w:w="2880"/>
          </w:tcPr>
          <w:p>
            <w:r>
              <w:rPr>
                <w:sz w:val="18"/>
              </w:rPr>
              <w:t>Functional but slower with large datasets</w:t>
            </w:r>
          </w:p>
        </w:tc>
      </w:tr>
      <w:tr>
        <w:tc>
          <w:tcPr>
            <w:tcW w:type="dxa" w:w="2880"/>
          </w:tcPr>
          <w:p>
            <w:r>
              <w:rPr>
                <w:sz w:val="18"/>
              </w:rPr>
              <w:t>5 concurrent request limit</w:t>
            </w:r>
          </w:p>
        </w:tc>
        <w:tc>
          <w:tcPr>
            <w:tcW w:type="dxa" w:w="2880"/>
          </w:tcPr>
          <w:p>
            <w:r>
              <w:rPr>
                <w:sz w:val="18"/>
              </w:rPr>
              <w:t>Limits speed for bulk queries</w:t>
            </w:r>
          </w:p>
        </w:tc>
        <w:tc>
          <w:tcPr>
            <w:tcW w:type="dxa" w:w="2880"/>
          </w:tcPr>
          <w:p>
            <w:r>
              <w:rPr>
                <w:sz w:val="18"/>
              </w:rPr>
              <w:t>Required to respect SF rate limits</w:t>
            </w:r>
          </w:p>
        </w:tc>
      </w:tr>
      <w:tr>
        <w:tc>
          <w:tcPr>
            <w:tcW w:type="dxa" w:w="2880"/>
          </w:tcPr>
          <w:p>
            <w:r>
              <w:rPr>
                <w:sz w:val="18"/>
              </w:rPr>
              <w:t>Effective-dated entities need date filters</w:t>
            </w:r>
          </w:p>
        </w:tc>
        <w:tc>
          <w:tcPr>
            <w:tcW w:type="dxa" w:w="2880"/>
          </w:tcPr>
          <w:p>
            <w:r>
              <w:rPr>
                <w:sz w:val="18"/>
              </w:rPr>
              <w:t>Queries without dates may miss current records</w:t>
            </w:r>
          </w:p>
        </w:tc>
        <w:tc>
          <w:tcPr>
            <w:tcW w:type="dxa" w:w="2880"/>
          </w:tcPr>
          <w:p>
            <w:r>
              <w:rPr>
                <w:sz w:val="18"/>
              </w:rPr>
              <w:t>MCP applies date filters automatically</w:t>
            </w:r>
          </w:p>
        </w:tc>
      </w:tr>
      <w:tr>
        <w:tc>
          <w:tcPr>
            <w:tcW w:type="dxa" w:w="2880"/>
          </w:tcPr>
          <w:p>
            <w:r>
              <w:rPr>
                <w:sz w:val="18"/>
              </w:rPr>
              <w:t>RBP permissions affect API returns</w:t>
            </w:r>
          </w:p>
        </w:tc>
        <w:tc>
          <w:tcPr>
            <w:tcW w:type="dxa" w:w="2880"/>
          </w:tcPr>
          <w:p>
            <w:r>
              <w:rPr>
                <w:sz w:val="18"/>
              </w:rPr>
              <w:t>Missing field access = omitted fields</w:t>
            </w:r>
          </w:p>
        </w:tc>
        <w:tc>
          <w:tcPr>
            <w:tcW w:type="dxa" w:w="2880"/>
          </w:tcPr>
          <w:p>
            <w:r>
              <w:rPr>
                <w:sz w:val="18"/>
              </w:rPr>
              <w:t>Use user with configuration-level permissions</w:t>
            </w:r>
          </w:p>
        </w:tc>
      </w:tr>
      <w:tr>
        <w:tc>
          <w:tcPr>
            <w:tcW w:type="dxa" w:w="2880"/>
          </w:tcPr>
          <w:p>
            <w:r>
              <w:rPr>
                <w:sz w:val="18"/>
              </w:rPr>
              <w:t>OIDC token expires in 1 hour</w:t>
            </w:r>
          </w:p>
        </w:tc>
        <w:tc>
          <w:tcPr>
            <w:tcW w:type="dxa" w:w="2880"/>
          </w:tcPr>
          <w:p>
            <w:r>
              <w:rPr>
                <w:sz w:val="18"/>
              </w:rPr>
              <w:t>Long sessions need re-auth</w:t>
            </w:r>
          </w:p>
        </w:tc>
        <w:tc>
          <w:tcPr>
            <w:tcW w:type="dxa" w:w="2880"/>
          </w:tcPr>
          <w:p>
            <w:r>
              <w:rPr>
                <w:sz w:val="18"/>
              </w:rPr>
              <w:t>Automatic cache with refresh</w:t>
            </w:r>
          </w:p>
        </w:tc>
      </w:tr>
      <w:tr>
        <w:tc>
          <w:tcPr>
            <w:tcW w:type="dxa" w:w="2880"/>
          </w:tcPr>
          <w:p>
            <w:r>
              <w:rPr>
                <w:sz w:val="18"/>
              </w:rPr>
              <w:t>MDF record queries need explicit allowlist entry</w:t>
            </w:r>
          </w:p>
        </w:tc>
        <w:tc>
          <w:tcPr>
            <w:tcW w:type="dxa" w:w="2880"/>
          </w:tcPr>
          <w:p>
            <w:r>
              <w:rPr>
                <w:sz w:val="18"/>
              </w:rPr>
              <w:t>Custom MDF data stores must be manually approved</w:t>
            </w:r>
          </w:p>
        </w:tc>
        <w:tc>
          <w:tcPr>
            <w:tcW w:type="dxa" w:w="2880"/>
          </w:tcPr>
          <w:p>
            <w:r>
              <w:rPr>
                <w:sz w:val="18"/>
              </w:rPr>
              <w:t>Add to ALLOWED_ENTITIES in sf_client.py</w:t>
            </w:r>
          </w:p>
        </w:tc>
      </w:tr>
    </w:tbl>
    <w:p/>
    <w:p>
      <w:pPr>
        <w:pStyle w:val="Heading1"/>
      </w:pPr>
      <w:r>
        <w:t>10. Execution and Transport</w:t>
      </w:r>
    </w:p>
    <w:p>
      <w:pPr>
        <w:pStyle w:val="Heading2"/>
      </w:pPr>
      <w:r>
        <w:t>Transport Modes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w:t>
            </w:r>
          </w:p>
        </w:tc>
        <w:tc>
          <w:tcPr>
            <w:tcW w:type="dxa" w:w="2880"/>
          </w:tcPr>
          <w:p>
            <w:r>
              <w:rPr>
                <w:b/>
                <w:sz w:val="18"/>
              </w:rPr>
              <w:t>Command</w:t>
            </w:r>
          </w:p>
        </w:tc>
        <w:tc>
          <w:tcPr>
            <w:tcW w:type="dxa" w:w="2880"/>
          </w:tcPr>
          <w:p>
            <w:r>
              <w:rPr>
                <w:b/>
                <w:sz w:val="18"/>
              </w:rPr>
              <w:t>Use Case</w:t>
            </w:r>
          </w:p>
        </w:tc>
      </w:tr>
      <w:tr>
        <w:tc>
          <w:tcPr>
            <w:tcW w:type="dxa" w:w="2880"/>
          </w:tcPr>
          <w:p>
            <w:r>
              <w:rPr>
                <w:sz w:val="18"/>
              </w:rPr>
              <w:t>stdio (default)</w:t>
            </w:r>
          </w:p>
        </w:tc>
        <w:tc>
          <w:tcPr>
            <w:tcW w:type="dxa" w:w="2880"/>
          </w:tcPr>
          <w:p>
            <w:r>
              <w:rPr>
                <w:sz w:val="18"/>
              </w:rPr>
              <w:t>uv run python main.py</w:t>
            </w:r>
          </w:p>
        </w:tc>
        <w:tc>
          <w:tcPr>
            <w:tcW w:type="dxa" w:w="2880"/>
          </w:tcPr>
          <w:p>
            <w:r>
              <w:rPr>
                <w:sz w:val="18"/>
              </w:rPr>
              <w:t>Claude Code, Claude Desktop</w:t>
            </w:r>
          </w:p>
        </w:tc>
      </w:tr>
      <w:tr>
        <w:tc>
          <w:tcPr>
            <w:tcW w:type="dxa" w:w="2880"/>
          </w:tcPr>
          <w:p>
            <w:r>
              <w:rPr>
                <w:sz w:val="18"/>
              </w:rPr>
              <w:t>SSE</w:t>
            </w:r>
          </w:p>
        </w:tc>
        <w:tc>
          <w:tcPr>
            <w:tcW w:type="dxa" w:w="2880"/>
          </w:tcPr>
          <w:p>
            <w:r>
              <w:rPr>
                <w:sz w:val="18"/>
              </w:rPr>
              <w:t>MCP_TRANSPORT=sse uv run python main.py</w:t>
            </w:r>
          </w:p>
        </w:tc>
        <w:tc>
          <w:tcPr>
            <w:tcW w:type="dxa" w:w="2880"/>
          </w:tcPr>
          <w:p>
            <w:r>
              <w:rPr>
                <w:sz w:val="18"/>
              </w:rPr>
              <w:t>Web integration, multiple clients</w:t>
            </w:r>
          </w:p>
        </w:tc>
      </w:tr>
    </w:tbl>
    <w:p/>
    <w:p>
      <w:pPr>
        <w:pStyle w:val="Heading2"/>
      </w:pPr>
      <w:r>
        <w:t>Installation</w:t>
      </w:r>
    </w:p>
    <w:p>
      <w:pPr>
        <w:pStyle w:val="ListBullet"/>
      </w:pPr>
      <w:r>
        <w:t>uv sync                  — Install dependencies</w:t>
      </w:r>
    </w:p>
    <w:p>
      <w:pPr>
        <w:pStyle w:val="ListBullet"/>
      </w:pPr>
      <w:r>
        <w:t>uv sync --dev            — Install with dev dependencies</w:t>
      </w:r>
    </w:p>
    <w:p>
      <w:pPr>
        <w:pStyle w:val="ListBullet"/>
      </w:pPr>
      <w:r>
        <w:t>uv sync --extra gcp      — Install with GCP Secret Manager support</w:t>
      </w:r>
    </w:p>
    <w:p>
      <w:pPr>
        <w:pStyle w:val="ListBullet"/>
      </w:pPr>
      <w:r>
        <w:t>uv run pytest            — Run tests</w:t>
      </w:r>
    </w:p>
    <w:p>
      <w:pPr>
        <w:pStyle w:val="ListBullet"/>
      </w:pPr>
      <w:r>
        <w:t>uv run python main.py    — Run server</w:t>
      </w:r>
    </w:p>
    <w:p>
      <w:pPr>
        <w:pStyle w:val="Heading2"/>
      </w:pPr>
      <w:r>
        <w:t>Credential Store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Store</w:t>
            </w:r>
          </w:p>
        </w:tc>
        <w:tc>
          <w:tcPr>
            <w:tcW w:type="dxa" w:w="2880"/>
          </w:tcPr>
          <w:p>
            <w:r>
              <w:rPr>
                <w:b/>
                <w:sz w:val="18"/>
              </w:rPr>
              <w:t>Use</w:t>
            </w:r>
          </w:p>
        </w:tc>
        <w:tc>
          <w:tcPr>
            <w:tcW w:type="dxa" w:w="2880"/>
          </w:tcPr>
          <w:p>
            <w:r>
              <w:rPr>
                <w:b/>
                <w:sz w:val="18"/>
              </w:rPr>
              <w:t>Configuration</w:t>
            </w:r>
          </w:p>
        </w:tc>
      </w:tr>
      <w:tr>
        <w:tc>
          <w:tcPr>
            <w:tcW w:type="dxa" w:w="2880"/>
          </w:tcPr>
          <w:p>
            <w:r>
              <w:rPr>
                <w:sz w:val="18"/>
              </w:rPr>
              <w:t>EnvCredentialStore (default)</w:t>
            </w:r>
          </w:p>
        </w:tc>
        <w:tc>
          <w:tcPr>
            <w:tcW w:type="dxa" w:w="2880"/>
          </w:tcPr>
          <w:p>
            <w:r>
              <w:rPr>
                <w:sz w:val="18"/>
              </w:rPr>
              <w:t>Reads from .env and env vars</w:t>
            </w:r>
          </w:p>
        </w:tc>
        <w:tc>
          <w:tcPr>
            <w:tcW w:type="dxa" w:w="2880"/>
          </w:tcPr>
          <w:p>
            <w:r>
              <w:rPr>
                <w:sz w:val="18"/>
              </w:rPr>
              <w:t>Automatic</w:t>
            </w:r>
          </w:p>
        </w:tc>
      </w:tr>
      <w:tr>
        <w:tc>
          <w:tcPr>
            <w:tcW w:type="dxa" w:w="2880"/>
          </w:tcPr>
          <w:p>
            <w:r>
              <w:rPr>
                <w:sz w:val="18"/>
              </w:rPr>
              <w:t>GCPSecretManagerStore</w:t>
            </w:r>
          </w:p>
        </w:tc>
        <w:tc>
          <w:tcPr>
            <w:tcW w:type="dxa" w:w="2880"/>
          </w:tcPr>
          <w:p>
            <w:r>
              <w:rPr>
                <w:sz w:val="18"/>
              </w:rPr>
              <w:t>Reads from Google Cloud Secret Manager</w:t>
            </w:r>
          </w:p>
        </w:tc>
        <w:tc>
          <w:tcPr>
            <w:tcW w:type="dxa" w:w="2880"/>
          </w:tcPr>
          <w:p>
            <w:r>
              <w:rPr>
                <w:sz w:val="18"/>
              </w:rPr>
              <w:t>Requires uv sync --extra gcp</w:t>
            </w:r>
          </w:p>
        </w:tc>
      </w:tr>
    </w:tbl>
    <w:p/>
    <w:p>
      <w:r>
        <w:br w:type="page"/>
      </w:r>
    </w:p>
    <w:p>
      <w:pPr>
        <w:pStyle w:val="Heading1"/>
      </w:pPr>
      <w:r>
        <w:t>Appendix: Environment Variables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Required</w:t>
            </w:r>
          </w:p>
        </w:tc>
        <w:tc>
          <w:tcPr>
            <w:tcW w:type="dxa" w:w="2160"/>
          </w:tcPr>
          <w:p>
            <w:r>
              <w:rPr>
                <w:b/>
                <w:sz w:val="18"/>
              </w:rPr>
              <w:t>Description</w:t>
            </w:r>
          </w:p>
        </w:tc>
        <w:tc>
          <w:tcPr>
            <w:tcW w:type="dxa" w:w="2160"/>
          </w:tcPr>
          <w:p>
            <w:r>
              <w:rPr>
                <w:b/>
                <w:sz w:val="18"/>
              </w:rPr>
              <w:t>Example</w:t>
            </w:r>
          </w:p>
        </w:tc>
      </w:tr>
      <w:tr>
        <w:tc>
          <w:tcPr>
            <w:tcW w:type="dxa" w:w="2160"/>
          </w:tcPr>
          <w:p>
            <w:r>
              <w:rPr>
                <w:sz w:val="18"/>
              </w:rPr>
              <w:t>SF_API_HOST</w:t>
            </w:r>
          </w:p>
        </w:tc>
        <w:tc>
          <w:tcPr>
            <w:tcW w:type="dxa" w:w="2160"/>
          </w:tcPr>
          <w:p>
            <w:r>
              <w:rPr>
                <w:sz w:val="18"/>
              </w:rPr>
              <w:t>Yes</w:t>
            </w:r>
          </w:p>
        </w:tc>
        <w:tc>
          <w:tcPr>
            <w:tcW w:type="dxa" w:w="2160"/>
          </w:tcPr>
          <w:p>
            <w:r>
              <w:rPr>
                <w:sz w:val="18"/>
              </w:rPr>
              <w:t>API URL or DC code</w:t>
            </w:r>
          </w:p>
        </w:tc>
        <w:tc>
          <w:tcPr>
            <w:tcW w:type="dxa" w:w="2160"/>
          </w:tcPr>
          <w:p>
            <w:r>
              <w:rPr>
                <w:sz w:val="18"/>
              </w:rPr>
              <w:t>https://api8preview.sapsf.com</w:t>
            </w:r>
          </w:p>
        </w:tc>
      </w:tr>
      <w:tr>
        <w:tc>
          <w:tcPr>
            <w:tcW w:type="dxa" w:w="2160"/>
          </w:tcPr>
          <w:p>
            <w:r>
              <w:rPr>
                <w:sz w:val="18"/>
              </w:rPr>
              <w:t>SF_COMPANY_ID</w:t>
            </w:r>
          </w:p>
        </w:tc>
        <w:tc>
          <w:tcPr>
            <w:tcW w:type="dxa" w:w="2160"/>
          </w:tcPr>
          <w:p>
            <w:r>
              <w:rPr>
                <w:sz w:val="18"/>
              </w:rPr>
              <w:t>Yes</w:t>
            </w:r>
          </w:p>
        </w:tc>
        <w:tc>
          <w:tcPr>
            <w:tcW w:type="dxa" w:w="2160"/>
          </w:tcPr>
          <w:p>
            <w:r>
              <w:rPr>
                <w:sz w:val="18"/>
              </w:rPr>
              <w:t>Instance Company ID</w:t>
            </w:r>
          </w:p>
        </w:tc>
        <w:tc>
          <w:tcPr>
            <w:tcW w:type="dxa" w:w="2160"/>
          </w:tcPr>
          <w:p>
            <w:r>
              <w:rPr>
                <w:sz w:val="18"/>
              </w:rPr>
              <w:t>MyCompany</w:t>
            </w:r>
          </w:p>
        </w:tc>
      </w:tr>
      <w:tr>
        <w:tc>
          <w:tcPr>
            <w:tcW w:type="dxa" w:w="2160"/>
          </w:tcPr>
          <w:p>
            <w:r>
              <w:rPr>
                <w:sz w:val="18"/>
              </w:rPr>
              <w:t>SF_USER_ID</w:t>
            </w:r>
          </w:p>
        </w:tc>
        <w:tc>
          <w:tcPr>
            <w:tcW w:type="dxa" w:w="2160"/>
          </w:tcPr>
          <w:p>
            <w:r>
              <w:rPr>
                <w:sz w:val="18"/>
              </w:rPr>
              <w:t>Yes</w:t>
            </w:r>
          </w:p>
        </w:tc>
        <w:tc>
          <w:tcPr>
            <w:tcW w:type="dxa" w:w="2160"/>
          </w:tcPr>
          <w:p>
            <w:r>
              <w:rPr>
                <w:sz w:val="18"/>
              </w:rPr>
              <w:t>User with API permissions</w:t>
            </w:r>
          </w:p>
        </w:tc>
        <w:tc>
          <w:tcPr>
            <w:tcW w:type="dxa" w:w="2160"/>
          </w:tcPr>
          <w:p>
            <w:r>
              <w:rPr>
                <w:sz w:val="18"/>
              </w:rPr>
              <w:t>apiUser</w:t>
            </w:r>
          </w:p>
        </w:tc>
      </w:tr>
      <w:tr>
        <w:tc>
          <w:tcPr>
            <w:tcW w:type="dxa" w:w="2160"/>
          </w:tcPr>
          <w:p>
            <w:r>
              <w:rPr>
                <w:sz w:val="18"/>
              </w:rPr>
              <w:t>SF_PASSWORD</w:t>
            </w:r>
          </w:p>
        </w:tc>
        <w:tc>
          <w:tcPr>
            <w:tcW w:type="dxa" w:w="2160"/>
          </w:tcPr>
          <w:p>
            <w:r>
              <w:rPr>
                <w:sz w:val="18"/>
              </w:rPr>
              <w:t>Yes</w:t>
            </w:r>
          </w:p>
        </w:tc>
        <w:tc>
          <w:tcPr>
            <w:tcW w:type="dxa" w:w="2160"/>
          </w:tcPr>
          <w:p>
            <w:r>
              <w:rPr>
                <w:sz w:val="18"/>
              </w:rPr>
              <w:t>User password</w:t>
            </w:r>
          </w:p>
        </w:tc>
        <w:tc>
          <w:tcPr>
            <w:tcW w:type="dxa" w:w="2160"/>
          </w:tcPr>
          <w:p>
            <w:r>
              <w:rPr>
                <w:sz w:val="18"/>
              </w:rPr>
              <w:t>****</w:t>
            </w:r>
          </w:p>
        </w:tc>
      </w:tr>
      <w:tr>
        <w:tc>
          <w:tcPr>
            <w:tcW w:type="dxa" w:w="2160"/>
          </w:tcPr>
          <w:p>
            <w:r>
              <w:rPr>
                <w:sz w:val="18"/>
              </w:rPr>
              <w:t>IAS_HOST</w:t>
            </w:r>
          </w:p>
        </w:tc>
        <w:tc>
          <w:tcPr>
            <w:tcW w:type="dxa" w:w="2160"/>
          </w:tcPr>
          <w:p>
            <w:r>
              <w:rPr>
                <w:sz w:val="18"/>
              </w:rPr>
              <w:t>Yes</w:t>
            </w:r>
          </w:p>
        </w:tc>
        <w:tc>
          <w:tcPr>
            <w:tcW w:type="dxa" w:w="2160"/>
          </w:tcPr>
          <w:p>
            <w:r>
              <w:rPr>
                <w:sz w:val="18"/>
              </w:rPr>
              <w:t>IAS host (no https://)</w:t>
            </w:r>
          </w:p>
        </w:tc>
        <w:tc>
          <w:tcPr>
            <w:tcW w:type="dxa" w:w="2160"/>
          </w:tcPr>
          <w:p>
            <w:r>
              <w:rPr>
                <w:sz w:val="18"/>
              </w:rPr>
              <w:t>mytenant.accounts.ondemand.com</w:t>
            </w:r>
          </w:p>
        </w:tc>
      </w:tr>
      <w:tr>
        <w:tc>
          <w:tcPr>
            <w:tcW w:type="dxa" w:w="2160"/>
          </w:tcPr>
          <w:p>
            <w:r>
              <w:rPr>
                <w:sz w:val="18"/>
              </w:rPr>
              <w:t>OIDC_CLIENT_ID</w:t>
            </w:r>
          </w:p>
        </w:tc>
        <w:tc>
          <w:tcPr>
            <w:tcW w:type="dxa" w:w="2160"/>
          </w:tcPr>
          <w:p>
            <w:r>
              <w:rPr>
                <w:sz w:val="18"/>
              </w:rPr>
              <w:t>Yes</w:t>
            </w:r>
          </w:p>
        </w:tc>
        <w:tc>
          <w:tcPr>
            <w:tcW w:type="dxa" w:w="2160"/>
          </w:tcPr>
          <w:p>
            <w:r>
              <w:rPr>
                <w:sz w:val="18"/>
              </w:rPr>
              <w:t>IAS app Client ID</w:t>
            </w:r>
          </w:p>
        </w:tc>
        <w:tc>
          <w:tcPr>
            <w:tcW w:type="dxa" w:w="2160"/>
          </w:tcPr>
          <w:p>
            <w:r>
              <w:rPr>
                <w:sz w:val="18"/>
              </w:rPr>
              <w:t>xxxxxxxx-xxxx-xxxx-xxxx-xxxxxxxxxxxx</w:t>
            </w:r>
          </w:p>
        </w:tc>
      </w:tr>
      <w:tr>
        <w:tc>
          <w:tcPr>
            <w:tcW w:type="dxa" w:w="2160"/>
          </w:tcPr>
          <w:p>
            <w:r>
              <w:rPr>
                <w:sz w:val="18"/>
              </w:rPr>
              <w:t>OIDC_CLIENT_SECRET</w:t>
            </w:r>
          </w:p>
        </w:tc>
        <w:tc>
          <w:tcPr>
            <w:tcW w:type="dxa" w:w="2160"/>
          </w:tcPr>
          <w:p>
            <w:r>
              <w:rPr>
                <w:sz w:val="18"/>
              </w:rPr>
              <w:t>Yes</w:t>
            </w:r>
          </w:p>
        </w:tc>
        <w:tc>
          <w:tcPr>
            <w:tcW w:type="dxa" w:w="2160"/>
          </w:tcPr>
          <w:p>
            <w:r>
              <w:rPr>
                <w:sz w:val="18"/>
              </w:rPr>
              <w:t>Client Secret</w:t>
            </w:r>
          </w:p>
        </w:tc>
        <w:tc>
          <w:tcPr>
            <w:tcW w:type="dxa" w:w="2160"/>
          </w:tcPr>
          <w:p>
            <w:r>
              <w:rPr>
                <w:sz w:val="18"/>
              </w:rPr>
              <w:t>****</w:t>
            </w:r>
          </w:p>
        </w:tc>
      </w:tr>
      <w:tr>
        <w:tc>
          <w:tcPr>
            <w:tcW w:type="dxa" w:w="2160"/>
          </w:tcPr>
          <w:p>
            <w:r>
              <w:rPr>
                <w:sz w:val="18"/>
              </w:rPr>
              <w:t>IAS_DEPENDENCY_NAME</w:t>
            </w:r>
          </w:p>
        </w:tc>
        <w:tc>
          <w:tcPr>
            <w:tcW w:type="dxa" w:w="2160"/>
          </w:tcPr>
          <w:p>
            <w:r>
              <w:rPr>
                <w:sz w:val="18"/>
              </w:rPr>
              <w:t>Yes</w:t>
            </w:r>
          </w:p>
        </w:tc>
        <w:tc>
          <w:tcPr>
            <w:tcW w:type="dxa" w:w="2160"/>
          </w:tcPr>
          <w:p>
            <w:r>
              <w:rPr>
                <w:sz w:val="18"/>
              </w:rPr>
              <w:t>SF dependency in IAS</w:t>
            </w:r>
          </w:p>
        </w:tc>
        <w:tc>
          <w:tcPr>
            <w:tcW w:type="dxa" w:w="2160"/>
          </w:tcPr>
          <w:p>
            <w:r>
              <w:rPr>
                <w:sz w:val="18"/>
              </w:rPr>
              <w:t>SF_DEPENDENCY</w:t>
            </w:r>
          </w:p>
        </w:tc>
      </w:tr>
      <w:tr>
        <w:tc>
          <w:tcPr>
            <w:tcW w:type="dxa" w:w="2160"/>
          </w:tcPr>
          <w:p>
            <w:r>
              <w:rPr>
                <w:sz w:val="18"/>
              </w:rPr>
              <w:t>MCP_TRANSPORT</w:t>
            </w:r>
          </w:p>
        </w:tc>
        <w:tc>
          <w:tcPr>
            <w:tcW w:type="dxa" w:w="2160"/>
          </w:tcPr>
          <w:p>
            <w:r>
              <w:rPr>
                <w:sz w:val="18"/>
              </w:rPr>
              <w:t>No</w:t>
            </w:r>
          </w:p>
        </w:tc>
        <w:tc>
          <w:tcPr>
            <w:tcW w:type="dxa" w:w="2160"/>
          </w:tcPr>
          <w:p>
            <w:r>
              <w:rPr>
                <w:sz w:val="18"/>
              </w:rPr>
              <w:t>Server transport mode</w:t>
            </w:r>
          </w:p>
        </w:tc>
        <w:tc>
          <w:tcPr>
            <w:tcW w:type="dxa" w:w="2160"/>
          </w:tcPr>
          <w:p>
            <w:r>
              <w:rPr>
                <w:sz w:val="18"/>
              </w:rPr>
              <w:t>stdio (default) or sse</w:t>
            </w:r>
          </w:p>
        </w:tc>
      </w:tr>
      <w:tr>
        <w:tc>
          <w:tcPr>
            <w:tcW w:type="dxa" w:w="2160"/>
          </w:tcPr>
          <w:p>
            <w:r>
              <w:rPr>
                <w:sz w:val="18"/>
              </w:rPr>
              <w:t>CREDENTIAL_STORE</w:t>
            </w:r>
          </w:p>
        </w:tc>
        <w:tc>
          <w:tcPr>
            <w:tcW w:type="dxa" w:w="2160"/>
          </w:tcPr>
          <w:p>
            <w:r>
              <w:rPr>
                <w:sz w:val="18"/>
              </w:rPr>
              <w:t>No</w:t>
            </w:r>
          </w:p>
        </w:tc>
        <w:tc>
          <w:tcPr>
            <w:tcW w:type="dxa" w:w="2160"/>
          </w:tcPr>
          <w:p>
            <w:r>
              <w:rPr>
                <w:sz w:val="18"/>
              </w:rPr>
              <w:t>Credential backend</w:t>
            </w:r>
          </w:p>
        </w:tc>
        <w:tc>
          <w:tcPr>
            <w:tcW w:type="dxa" w:w="2160"/>
          </w:tcPr>
          <w:p>
            <w:r>
              <w:rPr>
                <w:sz w:val="18"/>
              </w:rPr>
              <w:t>env (default) or gcp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