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.SF NS" w:hAnsi=".SF NS" w:cs=".SF NS"/>
          <w:sz w:val="24"/>
          <w:sz-cs w:val="24"/>
          <w:b/>
          <w:spacing w:val="0"/>
          <w:color w:val="0B0F20"/>
        </w:rPr>
        <w:t xml:space="preserve">ECOSISTEMA OFICIAL NEXORD / VISORD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  <w:spacing w:after="200"/>
      </w:pP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>Catálogo Maestro Encadenado de Tablas y Figuras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</w:pP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>Colección Exhaustiva de Entregables Gráficos y Tabulares del Manifiesto Científico (v9.0)</w:t>
      </w: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Autoría: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Dr. José Manuel Cornejo Álvarez (Banco Sociométrico / Plataforma NEXORD)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Concept DOI: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10.5281/zenodo.18926396 ·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DOI de Edición: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10.5281/zenodo.18941691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Total de Elementos Encadenados: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16 láminas de alta resolución (300 DPI)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Licencia: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Creative Commons Atribución 4.0 Internacional (CC BY 4.0)</w:t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CABECERA INSTITUCIONAL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Cabecera del Manifiesto / Identidad de Marca Maestra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Plataforma Institucional NEXORD &amp; Banco Sociométrico (BSOC)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Marca Maestra NEXORD (Nexo y Orden). Logotipo institucional oficial de la Plataforma de Sociometría Ordinal Computacional y del Banco Sociométrico (BSOC).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Identificador visual inviolable presente en toda la documentación, informes clínicos y entornos interactivos VISORD.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FIGURAS 1 Y 2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1.1: Superación del Límite Clásico y la Ontología del Vínculo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Figuras 1 y 2. Díptico Cartográfico Fundacional de la Psicología Social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Figuras 1 y 2. Díptico Cartográfico Fundacional de la Psicología Social — Izquierda (Fig. 1): Carte de la Spontanéité et du Télé de Jacob L. Moreno (1934). Derecha (Fig. 2): Carte du Champ Dynamique &amp; de l'Espace Vital de Kurt Lewin (1936–1951), ambas con orla conmemorativa institucional NEXORD.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Homenaje expreso en la tradición de la Carte du Tendre de Mademoiselle de Scudéry (1654), base del Protocolo Clélie de custodia ética de datos sensibles.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CUADRO METODOLÓGICO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2.1: Orden sin empates y Dualidad Matricial A(i, k)=j vs. B(i, j)=k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Ingestión Comparativa: Sociomatriz Moreno Tradicional vs Formato ORBIT (N = 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Estructura comparativa de entrada de datos: arriba, cuestionario clásico de Moreno restringido a elecciones/rechazos discretos; abajo, la Sociomatriz ORBIT con ordenación preferencial exhaustiva sin empates que satisface invariablemente la ley de conservación de la suma ordinal.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La Sociomatriz ORBIT A(i, k)=j y su dual distributiva B(i, j)=k preservan la totalidad de la información vincular sin truncamientos arbitrarios.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ESQUEMA CONCEPTUAL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2.1 y Sección 4.2: El Tetragrama Diádico y la Retícula Q81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Estructura del Tetragrama Diádico SMIb / SMIa y Micro-Interacción (i, j)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Descomposición formal de las 4 posiciones del tetragrama en la celda (i, j): A1 = p_DA (expectativa del emisor), A2 = DA (preferencia efectiva emitida), A3 = RECIBE (preferencia efectiva recibida), A4 = p_RECIBE (expectativa presumida en el partner).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Canón analítico inviolable del cálculo relacional. Permite clasificar cada vínculo en una de las 81 figuras diádicas elementales (Q81).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3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3. Arquitectura del Espacio Relacional 18D y los 3 Prismas Duales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3. Arquitectura del Espacio Relacional 18D y los 3 Prismas Duales: Estructuración del tetragrama en 4 densidades elementales (D1–D4), saldos globales invariantes (SDR, BDR, I_desgaste) y descomposición en los tres ejes fundamentales: Operativo (10D), Ontológico (14D) y Dialéctico (18D).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Gráfico canónico de alta precisión actualizado en paleta crema editorial (#FDFBF7), verificando el cálculo exacto de cada balance sin confusión con SDA/SRC.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GRÁFICA COMPUESTA 18D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4.4.1 y 4.4.2: Las 18 Densidades Relacionales y Desniveles de Tensión (Δ)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Gráfica Compuesta 18D. Espectrograma Panorámico de la Energía Vincular (4 Macro-Áreas en Colores Suaves)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Espectrograma Panorámico 18D en Ordenación Canónica Nº 1: B12 S12 (DA) · B14 S14 (PA) · B13 S13 (XA) · [d1 d2 d3 d4] · S24 B24 (XR) · S23 B23 (PR) · S34 B34 (RC) · SDR BDR. Las 4 macro-áreas estructuran el campo en fondos suaves armonizados: 1) DA (Polo Emisor / Expectativas); 2) Núcleo Tetragrama (d1..d4); 3) RC (Polo Receptor / Hechos Fácticos); y 4) BDR-SDR (Invariantes Globales y Fricción Térmica Φ). La franja sombreada entre cada masa bruta (B) y su saldo relativo (S) cuantifica el desnivel de fricción térmica (Δ = B − S ≡ Φ).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Proyección panorámica simultánea de las 18 dimensiones vinculares en un único continuo, integrando el cálculo de fricción térmica disipativa estructurada en 4 macro-áreas con fondos pastel armonizados.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4. Pentagrama Socio-Termodinámico (10D)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4. Pentagrama Socio-Termodinámico con las 10 densidades principales: desacoplamiento emisión/recepción y transición al continuo termodinámico; la brecha I_desgaste = BDR − SDR cuantifica la energía disipada en fricción.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evaluar el balance metabólico del grupo: si el colectivo disipa energía en rozamiento estéril o si la canaliza productivamente hacia la tarea común.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5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4.6: Dualidad Factorial Baricéntrica: AFC ∥ PCA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5. Planos Factoriales Duales en Paralelo (Biplot MESO F1 × F2, AFC ∥ PCA)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5. PLANOS DUALES EN PARALELO (Biplot MESO F1 × F2, espacio dual AFC ∥ PCA): el vector diádico orienta la flecha desde el polo emisor (DA) hacia el receptor (RC), con baricentro en el origen.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Verificación gráfica del Teorema Baricéntrico de NEXORD: los actores emergen como dipolos cinemáticos cuyo centroide de masa equilibra matemáticamente la emisión y la recepción.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6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 y Anexo II: Métricas Factoriales Slender y Algoritmo DIMO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6. Ejes Verticales Factoriales 1D (COR–CTA–CTR) y Algoritmo DIMO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6. Ejes verticales factoriales 1D (Ejes 1 y 2, matriz SDR): calidad métrica bilateral (COR a la izquierda, CTR a la derecha) y resolución de saturación bidimensional mediante proyección axonométrica 6D.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Resuelve visualmente hasta 6 factores jerarquizados mediante el algoritmo DIMO de tracción por masa de contribución absoluta (CTA).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7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4.1 y Sección 4.5: El Paradigma de VISORD Acuario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7. Navegación 3D Interactiva en VISORD Engine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7. VISORD_demo 3D: fases en la formación interactiva de grupos y resultados termodinámicos; volumen continuo DA × RECIBE × DENSIDAD y estratos de flotabilidad social.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Modelado hidrostático continuo en tres estratos: inferior (tensiones y rechazo), medio (flotabilidad neutra) y superior (cohesión armónica y liderazgo).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5.2: Variables Complementarias e Ilustrativas: Baterías V10 y A16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4. Batería Canónica de Variables Complementarias (V10) y Actividad Grupal (A16)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4. Cuadro de la batería de 10 variables contextuales (V₁₀, 3 modalidades) y 16 adjetivos normativos agrupados en 4 factores: TEMA, FUNC, COGN y AFEC.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Proyectadas como variables suplementarias en los planos factoriales para enriquecer la lectura clínica sin perturbar la métrica relacional pura.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5 / ANEXO III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5.3 y Anexo III: Catálogo de los 10 Dominios Ecosistémicos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5 / Tabla Anexo III. Catálogo de los 10 Dominios Ecosistémicos de Calibración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5. Los 10 dominios ecosistémicos de aplicación con parametrización estructural (inercia relacional α y tasa de decaimiento γ): Educativo, Familiar, Deportivo, Comunitario, Misiones Críticas, Terapéutico, Laboral, Institucional, Militar y Penitenciario.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calibrar la función potencial W(r) según el grado de institucionalización y permeabilidad vincular de cada contexto.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8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6.1 y Sección 6.2: Diseño Multidimensional G × T × C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8. Plano Factorial Comparativo Intergrupal (G1 vs G2) y Structrogramas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8. Plano factorial comparativo intergrupal (G1 vs G2) y structrogramas diacrónicos para la detección de polarización de facciones y trayectorias grupales.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Compara simultáneamente dos colectivos en un espacio métrico común y sigue la evolución diacrónica de los roles interpersonales.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6 / ANEXO IV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6.2 y Anexo IV: Interdistancias de Rango y Diagonal de Isometría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6 / Tabla Anexo IV. Matriz Numérica de Interdistancias Euclídeas de Rangos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6. Matriz numérica de interdistancias euclídeas de rangos (d_DA, d_RC, Δ = d_DA − d_RC) sobre el corpus G2T1C1, evidenciando asimetría de rol y balance emisor-receptor.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Prueba factual de la asimetría relacional: la distancia de elección raramente coincide con la de recepción, alejando a los sujetos de la diagonal de isometría.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9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6.5: Sociometría de Grandes Colectivos (N &gt; 25)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9. Campo Continuo de Interacción y Modelo del Iceberg (N = 50)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9. Campo continuo de interacción y modelo del iceberg en un colectivo de N = 50 sujetos: proyección macroscópica de plasma relacional, isolíneas de atracción y detección del ostracismo estructural.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Demuestra la escalabilidad del método ordinal a grandes colectivos sin pérdida de resolución ni colapso gráfico.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ANEXO 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8.1: Anexo I: Matrices Duales (SMIb y SMIa, Retícula Q81)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Anexo I. Matriz Estructural Q81 y Antidiagonales de Valencia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Anexo I. Matriz estructural Q81 con las 81 figuras relacionales básicas ordenadas por antidiagonales de valencia creciente.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Retícula exhaustiva y biyectiva que clasifica la totalidad de los estados diádicos posibles del intercambio interpersonal.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8291A9"/>
        </w:rPr>
        <w:t xml:space="preserve">(C) 2026 Dr. José Manuel Cornejo Álvarez · Plataforma NEXORD · Banco Sociométrico (BSOC). Todos los derechos reservados.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