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Universidad de Barcelona (UB)</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V9.0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Emérito Jubilado · Psicología Social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constituye una actualización formal de las intuiciones fundacionales de Jacob Levy Moreno (Sociometría) y Kurt Lewin (Teoría del Campo), superando mediante el cómputo contemporáneo las restricciones metodológicas de su época. Este Manifiesto articula el modelo a través de siete pilares:</w:t>
      </w:r>
    </w:p>
    <w:p>
      <w:pPr>
        <w:pStyle w:val="BodyText"/>
        <w:bidi w:val="0"/>
        <w:rPr/>
      </w:pPr>
      <w:r>
        <w:rPr>
          <w:rStyle w:val="Strong"/>
          <w:shd w:fill="FFFFFF" w:val="clear"/>
        </w:rPr>
        <w:t>1)</w:t>
      </w:r>
      <w:r>
        <w:rPr>
          <w:shd w:fill="FFFFFF" w:val="clear"/>
        </w:rPr>
        <w:t xml:space="preserve"> La consideración del vínculo relacional como núcleo constitutivo de la realidad existencial de los grupos. «Dar y Recibir» conforman los polos indisociables de un circuito interactivo continuo, donde la salud, el bienestar y la viabilidad del colectivo dependen del equilibrio homeostático entre los intercambios interpersonales de aceptación y conflicto.</w:t>
      </w:r>
    </w:p>
    <w:p>
      <w:pPr>
        <w:pStyle w:val="BodyText"/>
        <w:bidi w:val="0"/>
        <w:rPr/>
      </w:pPr>
      <w:r>
        <w:rPr>
          <w:rStyle w:val="Strong"/>
          <w:shd w:fill="FFFFFF" w:val="clear"/>
        </w:rPr>
        <w:t>2)</w:t>
      </w:r>
      <w:r>
        <w:rPr>
          <w:shd w:fill="FFFFFF" w:val="clear"/>
        </w:rPr>
        <w:t xml:space="preserve"> La cuantificación rigurosa del orden jerárquico de elección mediante la función inversa al rango, formalizando que la mente humana prioriza y elige de manera ordinal sin necesidad de imponer escalas cardinales artificiales.</w:t>
      </w:r>
    </w:p>
    <w:p>
      <w:pPr>
        <w:pStyle w:val="BodyText"/>
        <w:bidi w:val="0"/>
        <w:rPr/>
      </w:pPr>
      <w:r>
        <w:rPr>
          <w:rStyle w:val="Strong"/>
          <w:shd w:fill="FFFFFF" w:val="clear"/>
        </w:rPr>
        <w:t>3)</w:t>
      </w:r>
      <w:r>
        <w:rPr>
          <w:shd w:fill="FFFFFF" w:val="clear"/>
        </w:rPr>
        <w:t xml:space="preserve"> La métrica continua, fruto de esta cuantificación del orden preferencial, articulada formalmente en el álgebra del tetragrama relacional y en metapercepciones de reciprocidad, transformando las micro-interacciones interpersonales en una topología plenamente computable.</w:t>
      </w:r>
    </w:p>
    <w:p>
      <w:pPr>
        <w:pStyle w:val="BodyText"/>
        <w:bidi w:val="0"/>
        <w:rPr/>
      </w:pPr>
      <w:r>
        <w:rPr>
          <w:rStyle w:val="Strong"/>
          <w:shd w:fill="FFFFFF" w:val="clear"/>
        </w:rPr>
        <w:t>4)</w:t>
      </w:r>
      <w:r>
        <w:rPr>
          <w:shd w:fill="FFFFFF" w:val="clear"/>
        </w:rPr>
        <w:t xml:space="preserve"> El modelado socio-termodinámico del colectivo a través de gradientes de densidad y fricción relacional (Φ), donde la discrepancia dialéctica moderada y la plasticidad interna actúan como condiciones necesarias para el aprendizaje y la adaptación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planos factoriales duales, donde los actores se representan a la vez como emisores y receptores de preferencias en equilibrio baricéntrico, permitiendo la comparación geométrica de estructuras grupales mediante variedades topológicas.</w:t>
      </w:r>
    </w:p>
    <w:p>
      <w:pPr>
        <w:pStyle w:val="BodyText"/>
        <w:bidi w:val="0"/>
        <w:rPr/>
      </w:pPr>
      <w:r>
        <w:rPr>
          <w:rStyle w:val="Strong"/>
          <w:shd w:fill="FFFFFF" w:val="clear"/>
        </w:rPr>
        <w:t>6)</w:t>
      </w:r>
      <w:r>
        <w:rPr>
          <w:shd w:fill="FFFFFF" w:val="clear"/>
        </w:rPr>
        <w:t xml:space="preserve"> La versatilidad del diseño multidimensional (G × T × C), que integra análisis transversales, longitudinales y de criterios plurales de tarea y afecto, complementado con las herramientas de visualización interactiva de la plataforma VISORD.</w:t>
      </w:r>
    </w:p>
    <w:p>
      <w:pPr>
        <w:pStyle w:val="BodyText"/>
        <w:bidi w:val="0"/>
        <w:rPr/>
      </w:pPr>
      <w:r>
        <w:rPr>
          <w:rStyle w:val="Strong"/>
          <w:shd w:fill="FFFFFF" w:val="clear"/>
        </w:rPr>
        <w:t>7)</w:t>
      </w:r>
      <w:r>
        <w:rPr>
          <w:shd w:fill="FFFFFF" w:val="clear"/>
        </w:rPr>
        <w:t xml:space="preserve"> El compromiso de gobernanza bajo principios de Ética por Diseño (</w:t>
      </w:r>
      <w:r>
        <w:rPr>
          <w:rStyle w:val="Emphasis"/>
          <w:shd w:fill="FFFFFF" w:val="clear"/>
        </w:rPr>
        <w:t>Ethics by Design</w:t>
      </w:r>
      <w:r>
        <w:rPr>
          <w:shd w:fill="FFFFFF" w:val="clear"/>
        </w:rPr>
        <w:t>) y Ciencia Abierta, garantizando un uso exclusivamente formativo y no punitivo de los datos, orientado a proteger la dignidad de los participantes y a preservar el patrimonio empírico mediante el Banco Sociométrico (BSOC).</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El propósito de la Sociometría Ordinal Computacional en NEXORD es actualizar metodológicamente la tradición fundacional de la psicología social: trasladar al plano computacional las intuiciones que ni Jacob Levy Moreno ni Kurt Lewin pudieron implementar con el instrumental técnico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geniales intuiciones, adaptándolas a las posibilidades técnicas del cómputo contemporáneo. La continuidad con la tradición fundacional no es únicamente cartográfica: NEXORD opera indistintamente con protocolos de captura MORENO y ORBIT (protocolos muy similares, dual-stack, pues ambos comparten un orden de elección/rechazo manifiesto; aunque ORBIT no se pronuncia directamente sobre las expectativas recíprocas, un algoritmo de conversión MORENO ⇔ ORBIT permite una estimación probabilística que completa ambas formas sociométricas). El tetragrama diádico (pDA \cdot DA \cdot REC \cdot pREC) es una elaboración totalmente moreniana y constituye la base sólida sobre la que se ha construido la Plataforma NEXORD.</w:t>
      </w:r>
    </w:p>
    <w:p>
      <w:pPr>
        <w:pStyle w:val="BodyText"/>
        <w:bidi w:val="0"/>
        <w:rPr>
          <w:shd w:fill="FFFFFF" w:val="clear"/>
        </w:rPr>
      </w:pPr>
      <w:r>
        <w:rPr>
          <w:shd w:fill="FFFFFF" w:val="clear"/>
        </w:rPr>
        <w:t>La deuda específica con Kurt Lewin está en el origen del lema «La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fundacional.</w:t>
      </w:r>
    </w:p>
    <w:p>
      <w:pPr>
        <w:pStyle w:val="BodyText"/>
        <w:bidi w:val="0"/>
        <w:rPr>
          <w:shd w:fill="FFFFFF" w:val="clear"/>
        </w:rPr>
      </w:pPr>
      <w:r>
        <w:rPr>
          <w:shd w:fill="FFFFFF" w:val="clear"/>
        </w:rPr>
        <w:t>Sin un orden canónico explícito, la sociometría histórica acumuló mediciones aisladas e inconmensurables entre sí: hermosas melodías que nadie podía leer en una misma partitura. NEXORD ofrece ese pentagrama común donde el orden no impone la música, sino que la hace legible y comparable.</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perfectamente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precisión la estructura de las preferencias interpersonales sin imponer supuestos métricos a priori. En NEXORD, la métrica continua no se introduce como un postulado externo, sino que surge de forma analítica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del orden jerárquico: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emisor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interdistancia entre los distintos rangos.</w:t>
      </w:r>
    </w:p>
    <w:p>
      <w:pPr>
        <w:pStyle w:val="BodyText"/>
        <w:bidi w:val="0"/>
        <w:rPr>
          <w:shd w:fill="FFFFFF" w:val="clear"/>
        </w:rPr>
      </w:pPr>
      <w:r>
        <w:rPr>
          <w:shd w:fill="FFFFFF" w:val="clear"/>
        </w:rPr>
        <w:t>En su formulación complementaria,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constituye el operador de cuantificación del valor del orden preferencial y sustenta el motor relacional de la plataforma (pesos de las sociomatrices SMIb y decaimiento del campo); la transformación lineal acotada (2) es una simplificación operativa para aquellas métricas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Hecho Indisociable</w:t>
      </w:r>
    </w:p>
    <w:p>
      <w:pPr>
        <w:pStyle w:val="BodyText"/>
        <w:bidi w:val="0"/>
        <w:rPr>
          <w:shd w:fill="FFFFFF" w:val="clear"/>
        </w:rPr>
      </w:pPr>
      <w:r>
        <w:rPr>
          <w:shd w:fill="FFFFFF" w:val="clear"/>
        </w:rPr>
        <w:t>La emisión de preferencias (DAR) y la recepción de impacto recíproco (RECIBIR) no constituyen variables psicológicas independientes ni rasgos estables de personalidad: son momentos constitutivos, polares e indisociables de un único hecho relacional.</w:t>
      </w:r>
    </w:p>
    <w:p>
      <w:pPr>
        <w:pStyle w:val="BodyText"/>
        <w:bidi w:val="0"/>
        <w:rPr>
          <w:shd w:fill="FFFFFF" w:val="clear"/>
        </w:rPr>
      </w:pPr>
      <w:r>
        <w:rPr>
          <w:shd w:fill="FFFFFF" w:val="clear"/>
        </w:rPr>
        <w:t>El funcionamiento armónico o la fractura patológica de un grupo no residen en los individuos como tales, sino en la fluidez, simetría y ruptura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de forma natural a procedimientos de recuento basados en cuotas fijas (habitualmente tres elecciones y tres rechazos), donde cada mención recibía el mismo peso, aunque pronto fue sustituido por una ponderación lineal inversa al rango (5-1).</w:t>
      </w:r>
    </w:p>
    <w:p>
      <w:pPr>
        <w:pStyle w:val="BodyText"/>
        <w:bidi w:val="0"/>
        <w:rPr/>
      </w:pPr>
      <w:r>
        <w:rPr>
          <w:shd w:fill="FFFFFF" w:val="clear"/>
        </w:rPr>
        <w:t>La Sociomatriz ORBIT (inicialmente denominada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grupo, donde el emisor ocupa su propio lugar como parte integrante que es. El orden total permite representar una secuencia completa de todos sus integrantes.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xml:space="preserve">) indican el orden en que </w:t>
      </w:r>
      <w:r>
        <w:rPr>
          <w:rStyle w:val="Emphasis"/>
          <w:shd w:fill="FFFFFF" w:val="clear"/>
        </w:rPr>
        <w:t>i</w:t>
      </w:r>
      <w:r>
        <w:rPr>
          <w:shd w:fill="FFFFFF" w:val="clear"/>
        </w:rPr>
        <w:t xml:space="preserve"> ha colocado a </w:t>
      </w:r>
      <w:r>
        <w:rPr>
          <w:rStyle w:val="Emphasis"/>
          <w:shd w:fill="FFFFFF" w:val="clear"/>
        </w:rPr>
        <w:t>j</w:t>
      </w:r>
      <w:r>
        <w:rPr>
          <w:shd w:fill="FFFFFF" w:val="clear"/>
        </w:rPr>
        <w:t>: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de forma invariante la </w:t>
      </w:r>
      <w:r>
        <w:rPr>
          <w:rStyle w:val="Strong"/>
          <w:shd w:fill="FFFFFF" w:val="clear"/>
        </w:rPr>
        <w:t>propiedad de conservación de la suma ordinal por fila</w:t>
      </w:r>
      <w:r>
        <w:rPr>
          <w:shd w:fill="FFFFFF" w:val="clear"/>
        </w:rPr>
        <w:t>:</w:t>
      </w:r>
    </w:p>
    <w:tbl>
      <w:tblPr>
        <w:tblW w:w="9342" w:type="dxa"/>
        <w:jc w:val="start"/>
        <w:tblInd w:w="0" w:type="dxa"/>
        <w:shd w:fill="F8FAFC" w:val="clear"/>
        <w:tblLayout w:type="fixed"/>
        <w:tblCellMar>
          <w:top w:w="0" w:type="dxa"/>
          <w:start w:w="0" w:type="dxa"/>
          <w:bottom w:w="0" w:type="dxa"/>
          <w:end w:w="0" w:type="dxa"/>
        </w:tblCellMar>
      </w:tblPr>
      <w:tblGrid>
        <w:gridCol w:w="9342"/>
      </w:tblGrid>
      <w:tr>
        <w:trPr/>
        <w:tc>
          <w:tcPr>
            <w:tcW w:w="9342"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constituye el fundamento que hace posible la transposición bidireccional y exacta entre la sociomatriz clásica de Moreno y la sociomatriz ORBIT, así como la posterior derivación de los tetragramas relacionales (Figuras 3–5):</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3.</w:t>
      </w:r>
      <w:r>
        <w:rPr>
          <w:shd w:fill="FFFFFF" w:val="clear"/>
        </w:rPr>
        <w:t xml:space="preserve"> Sociomatriz clásica de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Excel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4.</w:t>
      </w:r>
      <w:r>
        <w:rPr>
          <w:shd w:fill="FFFFFF" w:val="clear"/>
        </w:rPr>
        <w:t xml:space="preserve"> Sociomatriz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Figura 5.</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en caso necesario, dispone de un procedimiento de ordenación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shd w:fill="FFFFFF" w:val="clear"/>
        </w:rPr>
      </w:pPr>
      <w:r>
        <w:rPr>
          <w:shd w:fill="FFFFFF" w:val="clear"/>
        </w:rPr>
        <w:t>Asegurados los dos extremos de la lista (E y R), el valor que les corresponde a los intermedios es prácticamente insignificante.</w:t>
      </w:r>
    </w:p>
    <w:p>
      <w:pPr>
        <w:pStyle w:val="BodyText"/>
        <w:bidi w:val="0"/>
        <w:rPr>
          <w:shd w:fill="FFFFFF" w:val="clear"/>
        </w:rPr>
      </w:pPr>
      <w:r>
        <w:rPr>
          <w:shd w:fill="FFFFFF" w:val="clear"/>
        </w:rPr>
        <w:t>NEXORD resuelve la omisión secular de la diagonal principal sociométrica requiriendo que cada participante se auto-ubique en el ranking colectivo. Esta clausura topológica convierte la matriz en un espacio relacional completo y continuo, activando tres indicadores métricos: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\max≤ft(0,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 = 1)\right)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que las preferencias interpersonales se emiten desde una auto-posición de referencia: hacia arriba o hacia abajo respecto del propio horizonte subjetivo.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fases de evolución psicológica e interpersonal:</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Rigidez e Inercia Estructural:</w:t>
      </w:r>
      <w:r>
        <w:rPr>
          <w:shd w:fill="FFFFFF" w:val="clear"/>
        </w:rPr>
        <w:t xml:space="preserve"> Cristalizaciones jerárquicas rígidas, roles inmóviles y escasa permeabilidad comunicativa.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Fluidez y Cohesión Adaptativa:</w:t>
      </w:r>
      <w:r>
        <w:rPr>
          <w:shd w:fill="FFFFFF" w:val="clear"/>
        </w:rPr>
        <w:t xml:space="preserve"> Homeostasis abierta con circulación flexible de preferencias, acuerdos y divergencias.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Dispersión y Anomia:</w:t>
      </w:r>
      <w:r>
        <w:rPr>
          <w:shd w:fill="FFFFFF" w:val="clear"/>
        </w:rPr>
        <w:t xml:space="preserve"> Baja densidad de acoplamiento, desvinculación afectiva y ausencia de proyectos compartidos. </w:t>
      </w:r>
    </w:p>
    <w:p>
      <w:pPr>
        <w:pStyle w:val="BodyText"/>
        <w:numPr>
          <w:ilvl w:val="0"/>
          <w:numId w:val="7"/>
        </w:numPr>
        <w:tabs>
          <w:tab w:val="clear" w:pos="1134"/>
          <w:tab w:val="left" w:pos="709" w:leader="none"/>
        </w:tabs>
        <w:bidi w:val="0"/>
        <w:ind w:hanging="283" w:start="709"/>
        <w:rPr/>
      </w:pPr>
      <w:r>
        <w:rPr>
          <w:rStyle w:val="Strong"/>
          <w:shd w:fill="FFFFFF" w:val="clear"/>
        </w:rPr>
        <w:t>Efervescencia y Fusión Colectiva:</w:t>
      </w:r>
      <w:r>
        <w:rPr>
          <w:shd w:fill="FFFFFF" w:val="clear"/>
        </w:rPr>
        <w:t xml:space="preserve"> Alta activación emocional compartida e intensa movilización interactiva. </w:t>
      </w:r>
    </w:p>
    <w:p>
      <w:pPr>
        <w:pStyle w:val="BodyText"/>
        <w:bidi w:val="0"/>
        <w:rPr/>
      </w:pPr>
      <w:r>
        <w:rPr>
          <w:shd w:fill="FFFFFF" w:val="clear"/>
        </w:rPr>
        <w:t>Desde este punto de vista, NEXORD cuestiona radicalmente el supuesto tradicional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Universo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diferentes; combinadas las elecciones independientes de los cinco participantes, el espacio total de microestados asciende a 24</w:t>
      </w:r>
      <w:r>
        <w:rPr>
          <w:position w:val="6"/>
          <w:sz w:val="16"/>
          <w:shd w:fill="FFFFFF" w:val="clear"/>
        </w:rPr>
        <w:t>5</w:t>
      </w:r>
      <w:r>
        <w:rPr>
          <w:shd w:fill="FFFFFF" w:val="clear"/>
        </w:rPr>
        <w:t xml:space="preserve"> = 7.962.624 matrices.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tan solo para un grupo de 5. Ante estas cifras, la estabilidad termodinámica y la salud del sistema no dependen del azar, sino de la geometría del flujo energético: de la minimización de la disipación por ruptura y de la existencia de atractores estables.</w:t>
      </w:r>
    </w:p>
    <w:p>
      <w:pPr>
        <w:pStyle w:val="BodyText"/>
        <w:bidi w:val="0"/>
        <w:rPr>
          <w:shd w:fill="FFFFFF" w:val="clear"/>
        </w:rPr>
      </w:pPr>
      <w:r>
        <w:rPr>
          <w:shd w:fill="FFFFFF" w:val="clear"/>
        </w:rPr>
        <w:t>La inmensa mayoría de las combinaciones corresponderá a ruido térmico (matrices disonantes de alta fricción) o a trampas de congelación (fallas tectónicas y monopolios asfixiantes). Para que un microestado supere los umbrales de organización productiva y saludable debe satisfacer de forma simultánea tres invariantes termodinámicas: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Minimización de la disipación por ruptura: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8"/>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toda esta combinatoria, solo un porcentaje muy selecto accede a un estado óptimo: el bienestar grupal no es la ausencia de tensiones y conflictos sino un equilibrio entre ellos, donde nadie queda condenado al cero absoluto ni forzado a sostener en soledad el peso del conjunto.</w:t>
      </w:r>
    </w:p>
    <w:p>
      <w:pPr>
        <w:pStyle w:val="BodyText"/>
        <w:bidi w:val="0"/>
        <w:rPr>
          <w:shd w:fill="FFFFFF" w:val="clear"/>
        </w:rPr>
      </w:pPr>
      <w:r>
        <w:rPr>
          <w:shd w:fill="FFFFFF" w:val="clear"/>
        </w:rPr>
        <w:t>En síntesis: la salud y la productividad de un grupo no son una cuestión moral ni de buena voluntad, sino de aerodinámica e hidrostática relacional. Un grupo productivo es aquel cuyo elipsoide vuela horizontal, cuyos saldos de energía están en balance homeostático, y donde nadie tiene que ahogarse en el fondo del abismo para que otros puedan tomar el sol a cielo abierto.</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Los 12 Elementos Sintácticos y el Tetragrama Relacional A1 A2 A3 A4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9483" w:type="dxa"/>
        <w:jc w:val="start"/>
        <w:tblInd w:w="0" w:type="dxa"/>
        <w:tblLayout w:type="fixed"/>
        <w:tblCellMar>
          <w:top w:w="90" w:type="dxa"/>
          <w:start w:w="105" w:type="dxa"/>
          <w:bottom w:w="90" w:type="dxa"/>
          <w:end w:w="105" w:type="dxa"/>
        </w:tblCellMar>
      </w:tblPr>
      <w:tblGrid>
        <w:gridCol w:w="1259"/>
        <w:gridCol w:w="1620"/>
        <w:gridCol w:w="1290"/>
        <w:gridCol w:w="1684"/>
        <w:gridCol w:w="2009"/>
        <w:gridCol w:w="1621"/>
      </w:tblGrid>
      <w:tr>
        <w:trPr/>
        <w:tc>
          <w:tcPr>
            <w:tcW w:w="12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162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129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6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200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62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7591" w:type="dxa"/>
        <w:jc w:val="start"/>
        <w:tblInd w:w="0" w:type="dxa"/>
        <w:tblLayout w:type="fixed"/>
        <w:tblCellMar>
          <w:top w:w="90" w:type="dxa"/>
          <w:start w:w="105" w:type="dxa"/>
          <w:bottom w:w="90" w:type="dxa"/>
          <w:end w:w="105" w:type="dxa"/>
        </w:tblCellMar>
      </w:tblPr>
      <w:tblGrid>
        <w:gridCol w:w="2997"/>
        <w:gridCol w:w="1587"/>
        <w:gridCol w:w="3007"/>
      </w:tblGrid>
      <w:tr>
        <w:trPr/>
        <w:tc>
          <w:tcPr>
            <w:tcW w:w="29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5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3007"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9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5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30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Vértice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9"/>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0"/>
        </w:numPr>
        <w:tabs>
          <w:tab w:val="clear" w:pos="1134"/>
          <w:tab w:val="left" w:pos="709" w:leader="none"/>
        </w:tabs>
        <w:bidi w:val="0"/>
        <w:ind w:hanging="283" w:start="709"/>
        <w:rPr/>
      </w:pPr>
      <w:r>
        <w:rPr>
          <w:rStyle w:val="Strong"/>
          <w:shd w:fill="FFFFFF" w:val="clear"/>
        </w:rPr>
        <w:t>Vértice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canónico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pPr>
      <w:r>
        <w:rPr>
          <w:shd w:fill="FFFFFF" w:val="clear"/>
        </w:rPr>
        <w:t xml:space="preserve">donde: </w:t>
      </w:r>
      <w:r>
        <w:rPr>
          <w:rStyle w:val="Emphasis"/>
          <w:shd w:fill="FFFFFF" w:val="clear"/>
        </w:rPr>
        <w:t>D</w:t>
      </w:r>
      <w:r>
        <w:rPr>
          <w:position w:val="-2"/>
          <w:sz w:val="16"/>
          <w:shd w:fill="FFFFFF" w:val="clear"/>
        </w:rPr>
        <w:t>Q81</w:t>
      </w:r>
      <w:r>
        <w:rPr>
          <w:shd w:fill="FFFFFF" w:val="clear"/>
        </w:rPr>
        <w:t xml:space="preserve">(\text{&lt;Ee&gt;}) = Densidad Máxima Positiva (+1.000),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Densidad Neutra (0.000) y </w:t>
      </w:r>
      <w:r>
        <w:rPr>
          <w:rStyle w:val="Emphasis"/>
          <w:shd w:fill="FFFFFF" w:val="clear"/>
        </w:rPr>
        <w:t>D</w:t>
      </w:r>
      <w:r>
        <w:rPr>
          <w:position w:val="-2"/>
          <w:sz w:val="16"/>
          <w:shd w:fill="FFFFFF" w:val="clear"/>
        </w:rPr>
        <w:t>Q81</w:t>
      </w:r>
      <w:r>
        <w:rPr>
          <w:shd w:fill="FFFFFF" w:val="clear"/>
        </w:rPr>
        <w:t>(\text{[Rr]}) = Densidad Máxima Negativa (-1.000).</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como Unidad y el Diagnóstico Desdoblado</w:t>
      </w:r>
    </w:p>
    <w:p>
      <w:pPr>
        <w:pStyle w:val="BodyText"/>
        <w:bidi w:val="0"/>
        <w:rPr/>
      </w:pPr>
      <w:r>
        <w:rPr>
          <w:shd w:fill="FFFFFF" w:val="clear"/>
        </w:rPr>
        <w:t xml:space="preserve">La idea de dotar a cada miembro del grupo de una única figura relacional y de una única densidad global sólo es posible si se descarta un promedio de todas sus relaciones diádicas, lo que sería un procedimiento totalmente erróneo. NEXORD preserva la bidimensionalidad topológica desdoblando la posición del sujeto </w:t>
      </w:r>
      <w:r>
        <w:rPr>
          <w:rStyle w:val="Emphasis"/>
          <w:shd w:fill="FFFFFF" w:val="clear"/>
        </w:rPr>
        <w:t>i</w:t>
      </w:r>
      <w:r>
        <w:rPr>
          <w:shd w:fill="FFFFFF" w:val="clear"/>
        </w:rPr>
        <w:t xml:space="preserve"> a través de su Tríptico Estructural:</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Emisión (DA):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emitidas (</w:t>
      </w:r>
      <w:r>
        <w:rPr>
          <w:rStyle w:val="Emphasis"/>
          <w:shd w:fill="FFFFFF" w:val="clear"/>
        </w:rPr>
        <w:t>i</w:t>
      </w:r>
      <w:r>
        <w:rPr>
          <w:shd w:fill="FFFFFF" w:val="clear"/>
        </w:rPr>
        <w:t xml:space="preserve">, </w:t>
      </w:r>
      <w:r>
        <w:rPr>
          <w:rStyle w:val="Emphasis"/>
          <w:shd w:fill="FFFFFF" w:val="clear"/>
        </w:rPr>
        <w:t>j</w:t>
      </w:r>
      <w:r>
        <w:rPr>
          <w:shd w:fill="FFFFFF" w:val="clear"/>
        </w:rPr>
        <w:t xml:space="preserve">), determinando el semi-tetragrama emisor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\text{‘xx..’}.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Recepción (RC):</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recibidas (</w:t>
      </w:r>
      <w:r>
        <w:rPr>
          <w:rStyle w:val="Emphasis"/>
          <w:shd w:fill="FFFFFF" w:val="clear"/>
        </w:rPr>
        <w:t>j</w:t>
      </w:r>
      <w:r>
        <w:rPr>
          <w:shd w:fill="FFFFFF" w:val="clear"/>
        </w:rPr>
        <w:t xml:space="preserve">, </w:t>
      </w:r>
      <w:r>
        <w:rPr>
          <w:rStyle w:val="Emphasis"/>
          <w:shd w:fill="FFFFFF" w:val="clear"/>
        </w:rPr>
        <w:t>i</w:t>
      </w:r>
      <w:r>
        <w:rPr>
          <w:shd w:fill="FFFFFF" w:val="clear"/>
        </w:rPr>
        <w:t xml:space="preserve">), determinando el semi-tetragrama receptor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\text{‘..yy’}.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Figura Global del Sujeto:</w:t>
      </w:r>
      <w:r>
        <w:rPr>
          <w:shd w:fill="FFFFFF" w:val="clear"/>
        </w:rPr>
        <w:t xml:space="preserve"> De la articulación de ambos polos emerge su tetragrama integral </w:t>
      </w:r>
      <w:r>
        <w:rPr>
          <w:rStyle w:val="Emphasis"/>
          <w:shd w:fill="FFFFFF" w:val="clear"/>
        </w:rPr>
        <w:t>F</w:t>
      </w:r>
      <w:r>
        <w:rPr>
          <w:rStyle w:val="Emphasis"/>
          <w:position w:val="-2"/>
          <w:sz w:val="16"/>
          <w:shd w:fill="FFFFFF" w:val="clear"/>
        </w:rPr>
        <w:t>i</w:t>
      </w:r>
      <w:r>
        <w:rPr>
          <w:shd w:fill="FFFFFF" w:val="clear"/>
        </w:rPr>
        <w:t xml:space="preserve">^{\text{global}} = \text{‘XXYY’}, cuyo valor </w:t>
      </w:r>
      <w:r>
        <w:rPr>
          <w:rStyle w:val="Emphasis"/>
          <w:shd w:fill="FFFFFF" w:val="clear"/>
        </w:rPr>
        <w:t>Q</w:t>
      </w:r>
      <w:r>
        <w:rPr>
          <w:position w:val="-2"/>
          <w:sz w:val="16"/>
          <w:shd w:fill="FFFFFF" w:val="clear"/>
        </w:rPr>
        <w:t>81</w:t>
      </w:r>
      <w:r>
        <w:rPr>
          <w:shd w:fill="FFFFFF" w:val="clear"/>
        </w:rPr>
        <w:t xml:space="preserve"> es el que corresponde canónicamente a la figura resultante. </w:t>
      </w:r>
    </w:p>
    <w:p>
      <w:pPr>
        <w:pStyle w:val="BodyText"/>
        <w:numPr>
          <w:ilvl w:val="0"/>
          <w:numId w:val="11"/>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w:t>
      </w:r>
      <w:r>
        <w:rPr>
          <w:rStyle w:val="Emphasis"/>
          <w:shd w:fill="FFFFFF" w:val="clear"/>
        </w:rPr>
        <w:t>Q</w:t>
      </w:r>
      <w:r>
        <w:rPr>
          <w:position w:val="-2"/>
          <w:sz w:val="16"/>
          <w:shd w:fill="FFFFFF" w:val="clear"/>
        </w:rPr>
        <w:t>81</w:t>
      </w:r>
      <w:r>
        <w:rPr>
          <w:shd w:fill="FFFFFF" w:val="clear"/>
        </w:rPr>
        <w:t xml:space="preserve">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2"/>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Fundamentación Algorítmica de la Densidad Relacional: La Matriz de Trazabilidad 6D y los Moduladores</w:t>
      </w:r>
    </w:p>
    <w:p>
      <w:pPr>
        <w:pStyle w:val="BodyText"/>
        <w:bidi w:val="0"/>
        <w:rPr/>
      </w:pPr>
      <w:r>
        <w:rPr>
          <w:shd w:fill="FFFFFF" w:val="clear"/>
        </w:rPr>
        <w:t xml:space="preserve">En la sociometría ordinal canónica de NEXORD, la Densidad Relacional no es un recuento plano ni un promedio aritmético ingenuo: constituye la </w:t>
      </w:r>
      <w:r>
        <w:rPr>
          <w:rStyle w:val="Strong"/>
          <w:shd w:fill="FFFFFF" w:val="clear"/>
        </w:rPr>
        <w:t>masa térmica y estructural real</w:t>
      </w:r>
      <w:r>
        <w:rPr>
          <w:shd w:fill="FFFFFF" w:val="clear"/>
        </w:rPr>
        <w:t xml:space="preserve"> que aporta un vínculo interpersonal, definiendo la fuerza cohesiva o destructiva de la interacción sobre el continuo termodinámico (\pm\mathbb{</w:t>
      </w:r>
      <w:r>
        <w:rPr>
          <w:rStyle w:val="Emphasis"/>
          <w:shd w:fill="FFFFFF" w:val="clear"/>
        </w:rPr>
        <w:t>R</w:t>
      </w:r>
      <w:r>
        <w:rPr>
          <w:shd w:fill="FFFFFF" w:val="clear"/>
        </w:rPr>
        <w:t>}).</w:t>
      </w:r>
    </w:p>
    <w:p>
      <w:pPr>
        <w:pStyle w:val="BodyText"/>
        <w:bidi w:val="0"/>
        <w:rPr/>
      </w:pPr>
      <w:r>
        <w:rPr>
          <w:shd w:fill="FFFFFF" w:val="clear"/>
        </w:rPr>
        <w:t>Para garantizar la reproducibilidad científica y evitar cualquier opacidad algorítmica, el motor de NEXORD procesa la interacción diádica (</w:t>
      </w:r>
      <w:r>
        <w:rPr>
          <w:rStyle w:val="Emphasis"/>
          <w:shd w:fill="FFFFFF" w:val="clear"/>
        </w:rPr>
        <w:t>i</w:t>
      </w:r>
      <w:r>
        <w:rPr>
          <w:shd w:fill="FFFFFF" w:val="clear"/>
        </w:rPr>
        <w:t xml:space="preserve"> → </w:t>
      </w:r>
      <w:r>
        <w:rPr>
          <w:rStyle w:val="Emphasis"/>
          <w:shd w:fill="FFFFFF" w:val="clear"/>
        </w:rPr>
        <w:t>j</w:t>
      </w:r>
      <w:r>
        <w:rPr>
          <w:shd w:fill="FFFFFF" w:val="clear"/>
        </w:rPr>
        <w:t xml:space="preserve">) a través de una </w:t>
      </w:r>
      <w:r>
        <w:rPr>
          <w:rStyle w:val="Strong"/>
          <w:shd w:fill="FFFFFF" w:val="clear"/>
        </w:rPr>
        <w:t>Matriz de Trazabilidad de 6 Capas</w:t>
      </w:r>
      <w:r>
        <w:rPr>
          <w:shd w:fill="FFFFFF" w:val="clear"/>
        </w:rPr>
        <w:t xml:space="preserve">. Esta arquitectura clínica descompone el flujo vincular mediante un conjunto explícito de </w:t>
      </w:r>
      <w:r>
        <w:rPr>
          <w:rStyle w:val="Strong"/>
          <w:shd w:fill="FFFFFF" w:val="clear"/>
        </w:rPr>
        <w:t>moduladores matemáticos</w:t>
      </w:r>
      <w:r>
        <w:rPr>
          <w:shd w:fill="FFFFFF" w:val="clear"/>
        </w:rPr>
        <w:t xml:space="preserve"> que ponderan rigurosamente el rango ordinal, las simetrías de acción, las reciprocidades cognitivas y las jerarquías de estatus: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9483" w:type="dxa"/>
        <w:jc w:val="start"/>
        <w:tblInd w:w="0" w:type="dxa"/>
        <w:tblLayout w:type="fixed"/>
        <w:tblCellMar>
          <w:top w:w="90" w:type="dxa"/>
          <w:start w:w="105" w:type="dxa"/>
          <w:bottom w:w="90" w:type="dxa"/>
          <w:end w:w="105" w:type="dxa"/>
        </w:tblCellMar>
      </w:tblPr>
      <w:tblGrid>
        <w:gridCol w:w="1588"/>
        <w:gridCol w:w="2157"/>
        <w:gridCol w:w="1654"/>
        <w:gridCol w:w="4084"/>
      </w:tblGrid>
      <w:tr>
        <w:trPr/>
        <w:tc>
          <w:tcPr>
            <w:tcW w:w="158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215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65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40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de forma no lineal (</w:t>
            </w:r>
            <w:r>
              <w:rPr>
                <w:rStyle w:val="Emphasis"/>
                <w:sz w:val="17"/>
              </w:rPr>
              <w:t>k</w:t>
            </w:r>
            <w:r>
              <w:rPr>
                <w:sz w:val="17"/>
              </w:rPr>
              <w:t xml:space="preserve"> ≥ 1.0) la baja priorización atencional.</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Premio termodinámico a la lucidez mental, la sintonía empática y la salud estructural de la red.</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Penalización destructiva proporcional al estatus (</w:t>
            </w:r>
            <w:r>
              <w:rPr>
                <w:rStyle w:val="Emphasis"/>
                <w:sz w:val="17"/>
              </w:rPr>
              <w:t>P</w:t>
            </w:r>
            <w:r>
              <w:rPr>
                <w:rStyle w:val="Emphasis"/>
                <w:position w:val="-1"/>
                <w:sz w:val="17"/>
              </w:rPr>
              <w:t>i</w:t>
            </w:r>
            <w:r>
              <w:rPr>
                <w:sz w:val="17"/>
              </w:rPr>
              <w:t>). La toxicidad de un líder daña la red más que la de un nodo periférico.</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Reconocimiento del coste cognitivo de anticipación. </w:t>
            </w:r>
            <w:r>
              <w:rPr>
                <w:rStyle w:val="Strong"/>
                <w:sz w:val="17"/>
              </w:rPr>
              <w:t>Bono estrictamente anulado a 1.0× si existe ceguera estructural</w:t>
            </w:r>
            <w:r>
              <w:rPr>
                <w:sz w:val="17"/>
              </w:rPr>
              <w:t>.</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shd w:fill="FFFFFF" w:val="clear"/>
        </w:rPr>
        <w:t xml:space="preserve">A partir de estas densidades diádicas moduladas, el sistema cuantifica simultáneamente los canales relacionales elementales y sus combinaciones invariantes. En la sociomatriz bidireccional integral, las componentes basales del sujeto integran emisión y recepción mediante el promedio baricéntrico </w:t>
      </w:r>
      <w:r>
        <w:rPr>
          <w:rStyle w:val="Emphasis"/>
          <w:shd w:fill="FFFFFF" w:val="clear"/>
        </w:rPr>
        <w:t>v</w:t>
      </w:r>
      <w:r>
        <w:rPr>
          <w:rStyle w:val="Emphasis"/>
          <w:position w:val="-2"/>
          <w:sz w:val="16"/>
          <w:shd w:fill="FFFFFF" w:val="clear"/>
        </w:rPr>
        <w:t>k</w:t>
      </w:r>
      <w:r>
        <w:rPr>
          <w:shd w:fill="FFFFFF" w:val="clear"/>
        </w:rPr>
        <w:t>(</w:t>
      </w:r>
      <w:r>
        <w:rPr>
          <w:rStyle w:val="Emphasis"/>
          <w:shd w:fill="FFFFFF" w:val="clear"/>
        </w:rPr>
        <w:t>i</w:t>
      </w:r>
      <w:r>
        <w:rPr>
          <w:shd w:fill="FFFFFF" w:val="clear"/>
        </w:rPr>
        <w:t>) = \frac{1}{2}[\text{Fila}_k(</w:t>
      </w:r>
      <w:r>
        <w:rPr>
          <w:rStyle w:val="Emphasis"/>
          <w:shd w:fill="FFFFFF" w:val="clear"/>
        </w:rPr>
        <w:t>i</w:t>
      </w:r>
      <w:r>
        <w:rPr>
          <w:shd w:fill="FFFFFF" w:val="clear"/>
        </w:rPr>
        <w:t>) + \text{Columna}_k(</w:t>
      </w:r>
      <w:r>
        <w:rPr>
          <w:rStyle w:val="Emphasis"/>
          <w:shd w:fill="FFFFFF" w:val="clear"/>
        </w:rPr>
        <w:t>i</w:t>
      </w:r>
      <w:r>
        <w:rPr>
          <w:shd w:fill="FFFFFF" w:val="clear"/>
        </w:rPr>
        <w:t>)], garantizando el cierre simétrico de la red.</w:t>
      </w:r>
    </w:p>
    <w:p>
      <w:pPr>
        <w:pStyle w:val="BodyText"/>
        <w:bidi w:val="0"/>
        <w:rPr/>
      </w:pPr>
      <w:r>
        <w:rPr>
          <w:rStyle w:val="Strong"/>
          <w:shd w:fill="FFFFFF" w:val="clear"/>
        </w:rPr>
        <w:t>Convenio Universal de Prefijos S y B:</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S (Saldo / Densidad Relativa):</w:t>
      </w:r>
      <w:r>
        <w:rPr>
          <w:shd w:fill="FFFFFF" w:val="clear"/>
        </w:rPr>
        <w:t xml:space="preserve"> Magnitud con signo (\pm\mathbb{</w:t>
      </w:r>
      <w:r>
        <w:rPr>
          <w:rStyle w:val="Emphasis"/>
          <w:shd w:fill="FFFFFF" w:val="clear"/>
        </w:rPr>
        <w:t>R</w:t>
      </w:r>
      <w:r>
        <w:rPr>
          <w:shd w:fill="FFFFFF" w:val="clear"/>
        </w:rPr>
        <w:t xml:space="preserve">}). Cuantifica vectores de fuerza, gradientes de potencial y dirección de atracción o rechazo. </w:t>
      </w:r>
    </w:p>
    <w:p>
      <w:pPr>
        <w:pStyle w:val="BodyText"/>
        <w:numPr>
          <w:ilvl w:val="0"/>
          <w:numId w:val="13"/>
        </w:numPr>
        <w:tabs>
          <w:tab w:val="clear" w:pos="1134"/>
          <w:tab w:val="left" w:pos="709" w:leader="none"/>
        </w:tabs>
        <w:bidi w:val="0"/>
        <w:ind w:hanging="283" w:start="709"/>
        <w:rPr/>
      </w:pPr>
      <w:r>
        <w:rPr>
          <w:rStyle w:val="Strong"/>
          <w:shd w:fill="FFFFFF" w:val="clear"/>
        </w:rPr>
        <w:t>B (Bruta / Densidad Absoluta):</w:t>
      </w:r>
      <w:r>
        <w:rPr>
          <w:shd w:fill="FFFFFF" w:val="clear"/>
        </w:rPr>
        <w:t xml:space="preserve"> Magnitud modular sin signo (|\cdot| ≥ 0). Cuantifica la masa relacional movilizada, energía cinética total y volumen metabólico del sistema. </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3c. Especificación y Cálculo Canónico de las 18 Densidades Relacionales e Invariantes Socio-Termodinámicos</w:t>
      </w:r>
    </w:p>
    <w:tbl>
      <w:tblPr>
        <w:tblW w:w="9483" w:type="dxa"/>
        <w:jc w:val="start"/>
        <w:tblInd w:w="0" w:type="dxa"/>
        <w:tblLayout w:type="fixed"/>
        <w:tblCellMar>
          <w:top w:w="90" w:type="dxa"/>
          <w:start w:w="105" w:type="dxa"/>
          <w:bottom w:w="90" w:type="dxa"/>
          <w:end w:w="105" w:type="dxa"/>
        </w:tblCellMar>
      </w:tblPr>
      <w:tblGrid>
        <w:gridCol w:w="966"/>
        <w:gridCol w:w="778"/>
        <w:gridCol w:w="943"/>
        <w:gridCol w:w="815"/>
        <w:gridCol w:w="759"/>
        <w:gridCol w:w="1759"/>
        <w:gridCol w:w="585"/>
        <w:gridCol w:w="951"/>
        <w:gridCol w:w="585"/>
        <w:gridCol w:w="1342"/>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manantial/sumidero de iniciativa.</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rumiación mental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D_k\</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c>
          <w:tcPr>
            <w:tcW w:w="1927" w:type="dxa"/>
            <w:gridSpan w:val="2"/>
            <w:tcBorders>
              <w:start w:val="single" w:sz="2" w:space="0" w:color="808080"/>
              <w:bottom w:val="single" w:sz="6"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bl>
    <w:p>
      <w:pPr>
        <w:pStyle w:val="BodyText"/>
        <w:bidi w:val="0"/>
        <w:rPr/>
      </w:pPr>
      <w:r>
        <w:rPr>
          <w:rStyle w:val="Emphasis"/>
          <w:shd w:fill="FFFFFF" w:val="clear"/>
        </w:rPr>
        <w:t>(Nota analítica de asimetrías diádicas: El sistema deriva complementariamente los tres índices de desbalance de cada prisma: Asimetría Operativa \text{Dif}_r = \|B</w:t>
      </w:r>
      <w:r>
        <w:rPr>
          <w:rStyle w:val="Emphasis"/>
          <w:position w:val="-2"/>
          <w:sz w:val="16"/>
          <w:shd w:fill="FFFFFF" w:val="clear"/>
        </w:rPr>
        <w:t>12</w:t>
      </w:r>
      <w:r>
        <w:rPr>
          <w:rStyle w:val="Emphasis"/>
          <w:shd w:fill="FFFFFF" w:val="clear"/>
        </w:rPr>
        <w:t xml:space="preserve"> - B</w:t>
      </w:r>
      <w:r>
        <w:rPr>
          <w:rStyle w:val="Emphasis"/>
          <w:position w:val="-2"/>
          <w:sz w:val="16"/>
          <w:shd w:fill="FFFFFF" w:val="clear"/>
        </w:rPr>
        <w:t>34</w:t>
      </w:r>
      <w:r>
        <w:rPr>
          <w:rStyle w:val="Emphasis"/>
          <w:shd w:fill="FFFFFF" w:val="clear"/>
        </w:rPr>
        <w:t>\|, Asimetría Ontológica \text{Dif}_a = \|B</w:t>
      </w:r>
      <w:r>
        <w:rPr>
          <w:rStyle w:val="Emphasis"/>
          <w:position w:val="-2"/>
          <w:sz w:val="16"/>
          <w:shd w:fill="FFFFFF" w:val="clear"/>
        </w:rPr>
        <w:t>14</w:t>
      </w:r>
      <w:r>
        <w:rPr>
          <w:rStyle w:val="Emphasis"/>
          <w:shd w:fill="FFFFFF" w:val="clear"/>
        </w:rPr>
        <w:t xml:space="preserve"> - B</w:t>
      </w:r>
      <w:r>
        <w:rPr>
          <w:rStyle w:val="Emphasis"/>
          <w:position w:val="-2"/>
          <w:sz w:val="16"/>
          <w:shd w:fill="FFFFFF" w:val="clear"/>
        </w:rPr>
        <w:t>23</w:t>
      </w:r>
      <w:r>
        <w:rPr>
          <w:rStyle w:val="Emphasis"/>
          <w:shd w:fill="FFFFFF" w:val="clear"/>
        </w:rPr>
        <w:t>\| y Asimetría Dialéctica \text{Dif}_i = \|B</w:t>
      </w:r>
      <w:r>
        <w:rPr>
          <w:rStyle w:val="Emphasis"/>
          <w:position w:val="-2"/>
          <w:sz w:val="16"/>
          <w:shd w:fill="FFFFFF" w:val="clear"/>
        </w:rPr>
        <w:t>13</w:t>
      </w:r>
      <w:r>
        <w:rPr>
          <w:rStyle w:val="Emphasis"/>
          <w:shd w:fill="FFFFFF" w:val="clear"/>
        </w:rPr>
        <w:t xml:space="preserve"> - B</w:t>
      </w:r>
      <w:r>
        <w:rPr>
          <w:rStyle w:val="Emphasis"/>
          <w:position w:val="-2"/>
          <w:sz w:val="16"/>
          <w:shd w:fill="FFFFFF" w:val="clear"/>
        </w:rPr>
        <w:t>24</w:t>
      </w:r>
      <w:r>
        <w:rPr>
          <w:rStyle w:val="Emphasis"/>
          <w:shd w:fill="FFFFFF" w:val="clear"/>
        </w:rPr>
        <w:t>\|, junto con la Fricción Térmica Φ = BDR - \|SDR\|).</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de Densidad</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exactamente 3 particiones duales complementarias [\binom{4}{2} / 2 = 3], que someten el vínculo a tres refracciones ortogonales independientes, que denominamos </w:t>
      </w:r>
      <w:r>
        <w:rPr>
          <w:rStyle w:val="Strong"/>
          <w:shd w:fill="FFFFFF" w:val="clear"/>
        </w:rPr>
        <w:t>PRISMAS</w:t>
      </w:r>
      <w:r>
        <w:rPr>
          <w:shd w:fill="FFFFFF" w:val="clear"/>
        </w:rPr>
        <w:t>:</w:t>
      </w:r>
    </w:p>
    <w:p>
      <w:pPr>
        <w:pStyle w:val="BodyText"/>
        <w:bidi w:val="0"/>
        <w:rPr>
          <w:shd w:fill="FFFFFF" w:val="clear"/>
        </w:rPr>
      </w:pPr>
      <w:r>
        <w:rPr>
          <w:shd w:fill="FFFFFF" w:val="clear"/>
        </w:rPr>
        <w:drawing>
          <wp:inline distT="0" distB="0" distL="0" distR="0">
            <wp:extent cx="720090" cy="29718000"/>
            <wp:effectExtent l="0" t="0" r="0" b="0"/>
            <wp:docPr id="3" name="Imagen3" title="Figura 8b: Arquitectura Canónic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8b: Arquitectura Canónica del Espacio Relacional 18D y los 3 Prismas Duales"/>
                    <pic:cNvPicPr>
                      <a:picLocks noChangeAspect="1" noChangeArrowheads="1"/>
                    </pic:cNvPicPr>
                  </pic:nvPicPr>
                  <pic:blipFill>
                    <a:blip r:link="rId8"/>
                    <a:stretch>
                      <a:fillRect/>
                    </a:stretch>
                  </pic:blipFill>
                  <pic:spPr bwMode="auto">
                    <a:xfrm>
                      <a:off x="0" y="0"/>
                      <a:ext cx="720090" cy="29718000"/>
                    </a:xfrm>
                    <a:prstGeom prst="rect">
                      <a:avLst/>
                    </a:prstGeom>
                    <a:noFill/>
                  </pic:spPr>
                </pic:pic>
              </a:graphicData>
            </a:graphic>
          </wp:inline>
        </w:drawing>
      </w:r>
      <w:r>
        <w:rPr>
          <w:shd w:fill="FFFFFF" w:val="clear"/>
        </w:rPr>
        <w:t xml:space="preserve">Figura 8b. Arquitectura Canónica del Espacio Relacional 18D y los 3 Prismas Duales: Estructuración del tetragrama en 4 densidades elementales (D1–D4), saldos globales invariantes (SDR, BDR) y descomposición en los tres ejes fundamentales: Operativo (Dador/Receptor, 10D), Ontológico (Mente/Hechos, 14D) y Dialéctico (Realismo/Compromiso, 18D). </w:t>
      </w:r>
    </w:p>
    <w:p>
      <w:pPr>
        <w:pStyle w:val="BodyText"/>
        <w:bidi w:val="0"/>
        <w:rPr/>
      </w:pPr>
      <w:r>
        <w:rPr>
          <w:shd w:fill="FFFFFF" w:val="clear"/>
        </w:rPr>
        <w:t xml:space="preserve">La descomposición del campo grupal en sus </w:t>
      </w:r>
      <w:r>
        <w:rPr>
          <w:rStyle w:val="Strong"/>
          <w:shd w:fill="FFFFFF" w:val="clear"/>
        </w:rPr>
        <w:t>18 Densidades Relacionales (18D)</w:t>
      </w:r>
      <w:r>
        <w:rPr>
          <w:shd w:fill="FFFFFF" w:val="clear"/>
        </w:rPr>
        <w:t xml:space="preserve"> no es una enumeración combinatoria dispersa, sino una anatomía ordenada de los flujos psicosociales. El sistema articula sus tensiones en una secuencia dialéctica canónica donde la </w:t>
      </w:r>
      <w:r>
        <w:rPr>
          <w:rStyle w:val="Strong"/>
          <w:shd w:fill="FFFFFF" w:val="clear"/>
        </w:rPr>
        <w:t>Masa Bruta (B)</w:t>
      </w:r>
      <w:r>
        <w:rPr>
          <w:shd w:fill="FFFFFF" w:val="clear"/>
        </w:rPr>
        <w:t xml:space="preserve"> —volumen total de energía interactiva movilizada— y el </w:t>
      </w:r>
      <w:r>
        <w:rPr>
          <w:rStyle w:val="Strong"/>
          <w:shd w:fill="FFFFFF" w:val="clear"/>
        </w:rPr>
        <w:t>Saldo Relativo (S)</w:t>
      </w:r>
      <w:r>
        <w:rPr>
          <w:shd w:fill="FFFFFF" w:val="clear"/>
        </w:rPr>
        <w:t xml:space="preserve"> —dirección neta e inclinación vectorial del vínculo— se suceden en contrapunto armónico:</w:t>
      </w:r>
    </w:p>
    <w:tbl>
      <w:tblPr>
        <w:tblW w:w="9483" w:type="dxa"/>
        <w:jc w:val="start"/>
        <w:tblInd w:w="0" w:type="dxa"/>
        <w:shd w:fill="F8FAFC" w:val="clear"/>
        <w:tblLayout w:type="fixed"/>
        <w:tblCellMar>
          <w:top w:w="0" w:type="dxa"/>
          <w:start w:w="0" w:type="dxa"/>
          <w:bottom w:w="0" w:type="dxa"/>
          <w:end w:w="0" w:type="dxa"/>
        </w:tblCellMar>
      </w:tblPr>
      <w:tblGrid>
        <w:gridCol w:w="9483"/>
      </w:tblGrid>
      <w:tr>
        <w:trPr/>
        <w:tc>
          <w:tcPr>
            <w:tcW w:w="9483"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\underbrace{B_{12} \; S_{12}}_{\text{DA (Iniciativa)}} \quad \underbrace{B_{14} \; S_{14}}_{\text{PA (Proyección)}} \quad \underbrace{B_{13} \; S_{13}}_{\text{XA (Sintonía)}} \quad \big[ D_1 \;\; D_2 \;\; D_3 \;\; D_4 \big] \quad \underbrace{S_{24} \; B_{24}}_{\text{XR (Desengaño)}} \quad \underbrace{S_{23} \; B_{23}}_{\text{PR (Hechos)}} \quad \underbrace{S_{34} \; B_{34}}_{\text{RC (Estatus)}} \quad \mathbf{SDR} \quad \mathbf{BDR}</w:t>
            </w:r>
          </w:p>
        </w:tc>
      </w:tr>
    </w:tbl>
    <w:p>
      <w:pPr>
        <w:pStyle w:val="BodyText"/>
        <w:bidi w:val="0"/>
        <w:rPr/>
      </w:pPr>
      <w:r>
        <w:rPr>
          <w:shd w:fill="FFFFFF" w:val="clear"/>
        </w:rPr>
        <w:t xml:space="preserve">Esta secuencia ordenada manifiesta el principio de conservación energética: el desnivel entre la masa bruta (B) y su saldo proyectado (S) revela con exactitud milimétrica la </w:t>
      </w:r>
      <w:r>
        <w:rPr>
          <w:rStyle w:val="Emphasis"/>
          <w:shd w:fill="FFFFFF" w:val="clear"/>
        </w:rPr>
        <w:t>Inercia de Desgaste</w:t>
      </w:r>
      <w:r>
        <w:rPr>
          <w:shd w:fill="FFFFFF" w:val="clear"/>
        </w:rPr>
        <w:t xml:space="preserve"> (I_{\text{desgaste}} = B - S) de cada prisma relacional. El orden de las densidades no es un capricho analítico: es la escala termodinámica que permite leer, en un solo golpe de vista, desde la iniciativa activa del emisor hasta el estatus consolidado por el grupo, culminando en la síntesis homeostática global del \mathbf{SDR} y el \mathbf{BDR}.</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4.4.3. El Pentagrama Socio-Termodinámico y la Inercia del Desgaste Relacional</w:t>
      </w:r>
    </w:p>
    <w:p>
      <w:pPr>
        <w:pStyle w:val="BodyText"/>
        <w:bidi w:val="0"/>
        <w:rPr/>
      </w:pPr>
      <w:r>
        <w:rPr>
          <w:shd w:fill="FFFFFF" w:val="clear"/>
        </w:rPr>
        <w:t xml:space="preserve">Con la correspondencia canónica </w:t>
      </w:r>
      <w:r>
        <w:rPr>
          <w:rStyle w:val="Emphasis"/>
          <w:shd w:fill="FFFFFF" w:val="clear"/>
        </w:rPr>
        <w:t>D</w:t>
      </w:r>
      <w:r>
        <w:rPr>
          <w:rStyle w:val="Emphasis"/>
          <w:position w:val="-2"/>
          <w:sz w:val="16"/>
          <w:shd w:fill="FFFFFF" w:val="clear"/>
        </w:rPr>
        <w:t>k</w:t>
      </w:r>
      <w:r>
        <w:rPr>
          <w:shd w:fill="FFFFFF" w:val="clear"/>
        </w:rPr>
        <w:t xml:space="preserve"> \equiv </w:t>
      </w:r>
      <w:r>
        <w:rPr>
          <w:rStyle w:val="Emphasis"/>
          <w:shd w:fill="FFFFFF" w:val="clear"/>
        </w:rPr>
        <w:t>X</w:t>
      </w:r>
      <w:r>
        <w:rPr>
          <w:rStyle w:val="Emphasis"/>
          <w:position w:val="-2"/>
          <w:sz w:val="16"/>
          <w:shd w:fill="FFFFFF" w:val="clear"/>
        </w:rPr>
        <w:t>k</w:t>
      </w:r>
      <w:r>
        <w:rPr>
          <w:shd w:fill="FFFFFF" w:val="clear"/>
        </w:rPr>
        <w:t xml:space="preserve"> del tetragrama, las diez densidades relacionales se organizan en dos macrodimensiones polares (DA y RECIBE) acopladas bajo dos estratos de conservación analítica:</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Estrato Vectorial con Signo (Valencia Neta y Sintonía):</w:t>
      </w:r>
      <w:r>
        <w:rPr>
          <w:shd w:fill="FFFFFF" w:val="clear"/>
        </w:rPr>
        <w:t xml:space="preserve"> el potencial neto del emisor SDA = </w:t>
      </w:r>
      <w:r>
        <w:rPr>
          <w:rStyle w:val="Emphasis"/>
          <w:shd w:fill="FFFFFF" w:val="clear"/>
        </w:rPr>
        <w:t>D</w:t>
      </w:r>
      <w:r>
        <w:rPr>
          <w:position w:val="-2"/>
          <w:sz w:val="16"/>
          <w:shd w:fill="FFFFFF" w:val="clear"/>
        </w:rPr>
        <w:t>1</w:t>
      </w:r>
      <w:r>
        <w:rPr>
          <w:shd w:fill="FFFFFF" w:val="clear"/>
        </w:rPr>
        <w:t xml:space="preserve"> + </w:t>
      </w:r>
      <w:r>
        <w:rPr>
          <w:rStyle w:val="Emphasis"/>
          <w:shd w:fill="FFFFFF" w:val="clear"/>
        </w:rPr>
        <w:t>D</w:t>
      </w:r>
      <w:r>
        <w:rPr>
          <w:position w:val="-2"/>
          <w:sz w:val="16"/>
          <w:shd w:fill="FFFFFF" w:val="clear"/>
        </w:rPr>
        <w:t>2</w:t>
      </w:r>
      <w:r>
        <w:rPr>
          <w:shd w:fill="FFFFFF" w:val="clear"/>
        </w:rPr>
        <w:t xml:space="preserve"> (expectativa emitida </w:t>
      </w:r>
      <w:r>
        <w:rPr>
          <w:rStyle w:val="Emphasis"/>
          <w:shd w:fill="FFFFFF" w:val="clear"/>
        </w:rPr>
        <w:t>D</w:t>
      </w:r>
      <w:r>
        <w:rPr>
          <w:position w:val="-2"/>
          <w:sz w:val="16"/>
          <w:shd w:fill="FFFFFF" w:val="clear"/>
        </w:rPr>
        <w:t>1</w:t>
      </w:r>
      <w:r>
        <w:rPr>
          <w:shd w:fill="FFFFFF" w:val="clear"/>
        </w:rPr>
        <w:t xml:space="preserve"> más acción real emitida </w:t>
      </w:r>
      <w:r>
        <w:rPr>
          <w:rStyle w:val="Emphasis"/>
          <w:shd w:fill="FFFFFF" w:val="clear"/>
        </w:rPr>
        <w:t>D</w:t>
      </w:r>
      <w:r>
        <w:rPr>
          <w:position w:val="-2"/>
          <w:sz w:val="16"/>
          <w:shd w:fill="FFFFFF" w:val="clear"/>
        </w:rPr>
        <w:t>2</w:t>
      </w:r>
      <w:r>
        <w:rPr>
          <w:shd w:fill="FFFFFF" w:val="clear"/>
        </w:rPr>
        <w:t xml:space="preserve">), el potencial neto del receptor SRC = </w:t>
      </w:r>
      <w:r>
        <w:rPr>
          <w:rStyle w:val="Emphasis"/>
          <w:shd w:fill="FFFFFF" w:val="clear"/>
        </w:rPr>
        <w:t>D</w:t>
      </w:r>
      <w:r>
        <w:rPr>
          <w:position w:val="-2"/>
          <w:sz w:val="16"/>
          <w:shd w:fill="FFFFFF" w:val="clear"/>
        </w:rPr>
        <w:t>3</w:t>
      </w:r>
      <w:r>
        <w:rPr>
          <w:shd w:fill="FFFFFF" w:val="clear"/>
        </w:rPr>
        <w:t xml:space="preserve"> + </w:t>
      </w:r>
      <w:r>
        <w:rPr>
          <w:rStyle w:val="Emphasis"/>
          <w:shd w:fill="FFFFFF" w:val="clear"/>
        </w:rPr>
        <w:t>D</w:t>
      </w:r>
      <w:r>
        <w:rPr>
          <w:position w:val="-2"/>
          <w:sz w:val="16"/>
          <w:shd w:fill="FFFFFF" w:val="clear"/>
        </w:rPr>
        <w:t>4</w:t>
      </w:r>
      <w:r>
        <w:rPr>
          <w:shd w:fill="FFFFFF" w:val="clear"/>
        </w:rPr>
        <w:t xml:space="preserve"> (acción real recibida </w:t>
      </w:r>
      <w:r>
        <w:rPr>
          <w:rStyle w:val="Emphasis"/>
          <w:shd w:fill="FFFFFF" w:val="clear"/>
        </w:rPr>
        <w:t>D</w:t>
      </w:r>
      <w:r>
        <w:rPr>
          <w:position w:val="-2"/>
          <w:sz w:val="16"/>
          <w:shd w:fill="FFFFFF" w:val="clear"/>
        </w:rPr>
        <w:t>3</w:t>
      </w:r>
      <w:r>
        <w:rPr>
          <w:shd w:fill="FFFFFF" w:val="clear"/>
        </w:rPr>
        <w:t xml:space="preserve"> más expectativa atribuida </w:t>
      </w:r>
      <w:r>
        <w:rPr>
          <w:rStyle w:val="Emphasis"/>
          <w:shd w:fill="FFFFFF" w:val="clear"/>
        </w:rPr>
        <w:t>D</w:t>
      </w:r>
      <w:r>
        <w:rPr>
          <w:position w:val="-2"/>
          <w:sz w:val="16"/>
          <w:shd w:fill="FFFFFF" w:val="clear"/>
        </w:rPr>
        <w:t>4</w:t>
      </w:r>
      <w:r>
        <w:rPr>
          <w:shd w:fill="FFFFFF" w:val="clear"/>
        </w:rPr>
        <w:t xml:space="preserve">), y el Saldo de Densidad Relativa total del campo SDR = SDA + SRC. </w:t>
      </w:r>
    </w:p>
    <w:p>
      <w:pPr>
        <w:pStyle w:val="BodyText"/>
        <w:numPr>
          <w:ilvl w:val="0"/>
          <w:numId w:val="14"/>
        </w:numPr>
        <w:tabs>
          <w:tab w:val="clear" w:pos="1134"/>
          <w:tab w:val="left" w:pos="709" w:leader="none"/>
        </w:tabs>
        <w:bidi w:val="0"/>
        <w:ind w:hanging="283" w:start="709"/>
        <w:rPr/>
      </w:pPr>
      <w:r>
        <w:rPr>
          <w:rStyle w:val="Strong"/>
          <w:shd w:fill="FFFFFF" w:val="clear"/>
        </w:rPr>
        <w:t>Estrato Escalar Absoluto (Masa Cinética Total Movilizada):</w:t>
      </w:r>
      <w:r>
        <w:rPr>
          <w:shd w:fill="FFFFFF" w:val="clear"/>
        </w:rPr>
        <w:t xml:space="preserve"> la masa bruta de emisión BDA = |</w:t>
      </w:r>
      <w:r>
        <w:rPr>
          <w:rStyle w:val="Emphasis"/>
          <w:shd w:fill="FFFFFF" w:val="clear"/>
        </w:rPr>
        <w:t>D</w:t>
      </w:r>
      <w:r>
        <w:rPr>
          <w:position w:val="-2"/>
          <w:sz w:val="16"/>
          <w:shd w:fill="FFFFFF" w:val="clear"/>
        </w:rPr>
        <w:t>1</w:t>
      </w:r>
      <w:r>
        <w:rPr>
          <w:shd w:fill="FFFFFF" w:val="clear"/>
        </w:rPr>
        <w:t>| + |</w:t>
      </w:r>
      <w:r>
        <w:rPr>
          <w:rStyle w:val="Emphasis"/>
          <w:shd w:fill="FFFFFF" w:val="clear"/>
        </w:rPr>
        <w:t>D</w:t>
      </w:r>
      <w:r>
        <w:rPr>
          <w:position w:val="-2"/>
          <w:sz w:val="16"/>
          <w:shd w:fill="FFFFFF" w:val="clear"/>
        </w:rPr>
        <w:t>2</w:t>
      </w:r>
      <w:r>
        <w:rPr>
          <w:shd w:fill="FFFFFF" w:val="clear"/>
        </w:rPr>
        <w:t>| y de recepción BRC = |</w:t>
      </w:r>
      <w:r>
        <w:rPr>
          <w:rStyle w:val="Emphasis"/>
          <w:shd w:fill="FFFFFF" w:val="clear"/>
        </w:rPr>
        <w:t>D</w:t>
      </w:r>
      <w:r>
        <w:rPr>
          <w:position w:val="-2"/>
          <w:sz w:val="16"/>
          <w:shd w:fill="FFFFFF" w:val="clear"/>
        </w:rPr>
        <w:t>3</w:t>
      </w:r>
      <w:r>
        <w:rPr>
          <w:shd w:fill="FFFFFF" w:val="clear"/>
        </w:rPr>
        <w:t>| + |</w:t>
      </w:r>
      <w:r>
        <w:rPr>
          <w:rStyle w:val="Emphasis"/>
          <w:shd w:fill="FFFFFF" w:val="clear"/>
        </w:rPr>
        <w:t>D</w:t>
      </w:r>
      <w:r>
        <w:rPr>
          <w:position w:val="-2"/>
          <w:sz w:val="16"/>
          <w:shd w:fill="FFFFFF" w:val="clear"/>
        </w:rPr>
        <w:t>4</w:t>
      </w:r>
      <w:r>
        <w:rPr>
          <w:shd w:fill="FFFFFF" w:val="clear"/>
        </w:rPr>
        <w:t xml:space="preserve">|, cuya suma define la Densidad Bruta Relacional BDR = BDA + BRC. </w:t>
      </w:r>
    </w:p>
    <w:p>
      <w:pPr>
        <w:pStyle w:val="BodyText"/>
        <w:bidi w:val="0"/>
        <w:rPr/>
      </w:pPr>
      <w:r>
        <w:rPr>
          <w:shd w:fill="FFFFFF" w:val="clear"/>
        </w:rPr>
        <w:t xml:space="preserve">La discrepancia analítica entre la energía total movilizada y el flujo neto cohesivo resultante define formalmente la </w:t>
      </w:r>
      <w:r>
        <w:rPr>
          <w:rStyle w:val="Strong"/>
          <w:shd w:fill="FFFFFF" w:val="clear"/>
        </w:rPr>
        <w:t>Inercia del Desgaste Relacional</w:t>
      </w:r>
      <w:r>
        <w:rPr>
          <w:shd w:fill="FFFFFF" w:val="clear"/>
        </w:rPr>
        <w:t xml:space="preserve"> (I_{\text{desgaste}} = BDR - SDR):</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Régimen de Eficiencia Máxima (SDR ≈ BDR \implies I_{\text{desgaste}} ≈ 0):</w:t>
      </w:r>
      <w:r>
        <w:rPr>
          <w:shd w:fill="FFFFFF" w:val="clear"/>
        </w:rPr>
        <w:t xml:space="preserve"> Las elecciones y expectativas convergen hacia la valencia positiva (</w:t>
      </w:r>
      <w:r>
        <w:rPr>
          <w:rStyle w:val="Textooriginal"/>
          <w:shd w:fill="FFFFFF" w:val="clear"/>
        </w:rPr>
        <w:t>&lt;Ee&gt;</w:t>
      </w:r>
      <w:r>
        <w:rPr>
          <w:shd w:fill="FFFFFF" w:val="clear"/>
        </w:rPr>
        <w:t xml:space="preserve">). Casi la totalidad de la energía invertida produce cohesión estructural y rendimiento útil. </w:t>
      </w:r>
    </w:p>
    <w:p>
      <w:pPr>
        <w:pStyle w:val="BodyText"/>
        <w:numPr>
          <w:ilvl w:val="0"/>
          <w:numId w:val="15"/>
        </w:numPr>
        <w:tabs>
          <w:tab w:val="clear" w:pos="1134"/>
          <w:tab w:val="left" w:pos="709" w:leader="none"/>
        </w:tabs>
        <w:bidi w:val="0"/>
        <w:ind w:hanging="283" w:start="709"/>
        <w:rPr/>
      </w:pPr>
      <w:r>
        <w:rPr>
          <w:rStyle w:val="Strong"/>
          <w:shd w:fill="FFFFFF" w:val="clear"/>
        </w:rPr>
        <w:t>Régimen de Desgaste y Resistencia (BDR &amp;gg; SDR \implies I_{\text{desgaste}} &amp;gg; 0):</w:t>
      </w:r>
      <w:r>
        <w:rPr>
          <w:shd w:fill="FFFFFF" w:val="clear"/>
        </w:rPr>
        <w:t xml:space="preserve"> El colectivo moviliza grandes volúmenes de comunicación e interacción (BDR elevado), pero las cancelaciones de signo provocadas por desconfianzas, tensiones latentes o desacoples perceptivos anulan el avance (SDR → 0). La energía se disipa en forma de rumiación, sospecha y fricción estéril, cuantificando la fatiga estructural del grupo antes de que se manifieste en fracturas explícitas. </w:t>
      </w:r>
    </w:p>
    <w:p>
      <w:pPr>
        <w:pStyle w:val="BodyText"/>
        <w:bidi w:val="0"/>
        <w:rPr>
          <w:shd w:fill="FFFFFF" w:val="clear"/>
        </w:rPr>
      </w:pPr>
      <w:r>
        <w:rPr>
          <w:shd w:fill="FFFFFF" w:val="clear"/>
        </w:rPr>
        <w:drawing>
          <wp:inline distT="0" distB="0" distL="0" distR="0">
            <wp:extent cx="720090" cy="30003750"/>
            <wp:effectExtent l="0" t="0" r="0" b="0"/>
            <wp:docPr id="4" name="Imagen4" title="Figura 8: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8: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8. Pentagrama Socio-Termodinámico con las 10 densidades canónicas: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constituye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acuario tridimensional continuo definido sobre el volumen cartesiano \mathbf{DA} × \mathbf{RECIBE} × \mathbf{DENSIDAD}, estructurado analíticamente en tres zonas y estratos característicos:</w:t>
      </w:r>
    </w:p>
    <w:p>
      <w:pPr>
        <w:pStyle w:val="BodyText"/>
        <w:numPr>
          <w:ilvl w:val="0"/>
          <w:numId w:val="16"/>
        </w:numPr>
        <w:tabs>
          <w:tab w:val="clear" w:pos="1134"/>
          <w:tab w:val="left" w:pos="709" w:leader="none"/>
        </w:tabs>
        <w:bidi w:val="0"/>
        <w:spacing w:before="0" w:after="0"/>
        <w:ind w:hanging="283" w:start="709"/>
        <w:rPr/>
      </w:pPr>
      <w:r>
        <w:rPr>
          <w:rStyle w:val="Strong"/>
          <w:shd w:fill="FFFFFF" w:val="clear"/>
        </w:rPr>
        <w:t>Fondo sumergido (Bentos relacional):</w:t>
      </w:r>
      <w:r>
        <w:rPr>
          <w:shd w:fill="FFFFFF" w:val="clear"/>
        </w:rPr>
        <w:t xml:space="preserve"> Cuencas de atracción de baja cota y alta presión negativa, donde se concentran los estados de rechazo mutuo (</w:t>
      </w:r>
      <w:r>
        <w:rPr>
          <w:rStyle w:val="Textooriginal"/>
          <w:shd w:fill="FFFFFF" w:val="clear"/>
        </w:rPr>
        <w:t>[Rr]</w:t>
      </w:r>
      <w:r>
        <w:rPr>
          <w:shd w:fill="FFFFFF" w:val="clear"/>
        </w:rPr>
        <w:t xml:space="preserve">), conflicto latente y aislamiento estructural. </w:t>
      </w:r>
    </w:p>
    <w:p>
      <w:pPr>
        <w:pStyle w:val="BodyText"/>
        <w:numPr>
          <w:ilvl w:val="0"/>
          <w:numId w:val="16"/>
        </w:numPr>
        <w:tabs>
          <w:tab w:val="clear" w:pos="1134"/>
          <w:tab w:val="left" w:pos="709" w:leader="none"/>
        </w:tabs>
        <w:bidi w:val="0"/>
        <w:spacing w:before="0" w:after="0"/>
        <w:ind w:hanging="283" w:start="709"/>
        <w:rPr/>
      </w:pPr>
      <w:r>
        <w:rPr>
          <w:rStyle w:val="Strong"/>
          <w:shd w:fill="FFFFFF" w:val="clear"/>
        </w:rPr>
        <w:t>Superficie del agua (Nivel barométrico neutro):</w:t>
      </w:r>
      <w:r>
        <w:rPr>
          <w:shd w:fill="FFFFFF" w:val="clear"/>
        </w:rPr>
        <w:t xml:space="preserve"> Lámina homeostática de flotabilidad basal correspondiente al centroide de indiferencia (</w:t>
      </w:r>
      <w:r>
        <w:rPr>
          <w:rStyle w:val="Textooriginal"/>
          <w:shd w:fill="FFFFFF" w:val="clear"/>
        </w:rPr>
        <w:t>i¿?! = 41</w:t>
      </w:r>
      <w:r>
        <w:rPr>
          <w:shd w:fill="FFFFFF" w:val="clear"/>
        </w:rPr>
        <w:t xml:space="preserve">) y equilibrio disyuntivo. </w:t>
      </w:r>
    </w:p>
    <w:p>
      <w:pPr>
        <w:pStyle w:val="BodyText"/>
        <w:numPr>
          <w:ilvl w:val="0"/>
          <w:numId w:val="16"/>
        </w:numPr>
        <w:tabs>
          <w:tab w:val="clear" w:pos="1134"/>
          <w:tab w:val="left" w:pos="709" w:leader="none"/>
        </w:tabs>
        <w:bidi w:val="0"/>
        <w:ind w:hanging="283" w:start="709"/>
        <w:rPr/>
      </w:pPr>
      <w:r>
        <w:rPr>
          <w:rStyle w:val="Strong"/>
          <w:shd w:fill="FFFFFF" w:val="clear"/>
        </w:rPr>
        <w:t>Cielo abierto (Atmósfera convectiva):</w:t>
      </w:r>
      <w:r>
        <w:rPr>
          <w:shd w:fill="FFFFFF" w:val="clear"/>
        </w:rPr>
        <w:t xml:space="preserve"> Estrato superior de alta densidad positiva y cohesión óptima, donde gravitan las figuras de resonancia armónica (</w:t>
      </w:r>
      <w:r>
        <w:rPr>
          <w:rStyle w:val="Textooriginal"/>
          <w:shd w:fill="FFFFFF" w:val="clear"/>
        </w:rPr>
        <w:t>&lt;Ee&gt;</w:t>
      </w:r>
      <w:r>
        <w:rPr>
          <w:shd w:fill="FFFFFF" w:val="clear"/>
        </w:rPr>
        <w:t xml:space="preserve">) y liderazgo integrador libre de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17"/>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17"/>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17"/>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 inter-estratales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visibles —y audibles— los procesos y las estructuras relacionales resultantes de la investigación. El ojo y el oído humanos están poco preparados para asimilar ristras de números y coeficientes abstractos; en cambio, tienen una enorme capacidad para percibir de forma intuitiva formas, relieves, cambios tonales, distancias relativas, densidades e iluminaciones.</w:t>
      </w:r>
    </w:p>
    <w:p>
      <w:pPr>
        <w:pStyle w:val="BodyText"/>
        <w:bidi w:val="0"/>
        <w:rPr>
          <w:shd w:fill="FFFFFF" w:val="clear"/>
        </w:rPr>
      </w:pPr>
      <w:r>
        <w:rPr>
          <w:shd w:fill="FFFFFF" w:val="clear"/>
        </w:rPr>
        <w:t>La «lupa matemática» de la Sociometría Ordinal de NEXORD ha avanzado, mediante sus animaciones VISORD, en la creación de visualizaciones interactivas que facilitan una mejor percepción y comprensión de los fenómenos de interacción grupal. Como ha demostrado fehacientemente la investigación cosmológica, la progresiva matematización ha conseguido hacer ver y oír lo que resulta imperceptible a nuestros sentidos biológicos. Y esa lupa ha sido posible gracias al avance realizado en la cuantificación más precisa de los órdenes de preferencia.</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18"/>
        </w:numPr>
        <w:tabs>
          <w:tab w:val="clear" w:pos="1134"/>
          <w:tab w:val="left" w:pos="709" w:leader="none"/>
        </w:tabs>
        <w:bidi w:val="0"/>
        <w:spacing w:before="0" w:after="0"/>
        <w:ind w:hanging="283" w:start="709"/>
        <w:rPr/>
      </w:pPr>
      <w:r>
        <w:rPr>
          <w:rStyle w:val="Strong"/>
          <w:shd w:fill="FFFFFF" w:val="clear"/>
        </w:rPr>
        <w:t>Sociogramas Continuos Tridimensionales (VISORD 3D/4D):</w:t>
      </w:r>
      <w:r>
        <w:rPr>
          <w:shd w:fill="FFFFFF" w:val="clear"/>
        </w:rPr>
        <w:t xml:space="preserve"> Visualización en el espacio continuo de cuencas de atracción (verde esmeralda, </w:t>
      </w:r>
      <w:r>
        <w:rPr>
          <w:rStyle w:val="Textooriginal"/>
          <w:shd w:fill="FFFFFF" w:val="clear"/>
        </w:rPr>
        <w:t>&lt;Ee&gt;</w:t>
      </w:r>
      <w:r>
        <w:rPr>
          <w:shd w:fill="FFFFFF" w:val="clear"/>
        </w:rPr>
        <w:t xml:space="preserve">), zonas intermedias de oposición (ámbar) y filamentos de alta cizalladura o fricción (magenta, </w:t>
      </w:r>
      <w:r>
        <w:rPr>
          <w:rStyle w:val="Textooriginal"/>
          <w:shd w:fill="FFFFFF" w:val="clear"/>
        </w:rPr>
        <w:t>[Rr]</w:t>
      </w:r>
      <w:r>
        <w:rPr>
          <w:shd w:fill="FFFFFF" w:val="clear"/>
        </w:rPr>
        <w:t xml:space="preserve">), con navegación temporal diacrónica (Figura 11). </w:t>
      </w:r>
    </w:p>
    <w:p>
      <w:pPr>
        <w:pStyle w:val="BodyText"/>
        <w:numPr>
          <w:ilvl w:val="0"/>
          <w:numId w:val="18"/>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exacto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9). </w:t>
      </w:r>
    </w:p>
    <w:p>
      <w:pPr>
        <w:pStyle w:val="BodyText"/>
        <w:numPr>
          <w:ilvl w:val="0"/>
          <w:numId w:val="18"/>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(Benzécri, 1973; Cornejo, 1988), flanqueadas por ejes verticales de contribución absoluta (CTA) y calidad de representación (COR). Conviene fijar las definiciones formales de estas métricas: la COR (calidad de representación) del elemento </w:t>
      </w:r>
      <w:r>
        <w:rPr>
          <w:rStyle w:val="Emphasis"/>
          <w:shd w:fill="FFFFFF" w:val="clear"/>
        </w:rPr>
        <w:t>i</w:t>
      </w:r>
      <w:r>
        <w:rPr>
          <w:shd w:fill="FFFFFF" w:val="clear"/>
        </w:rPr>
        <w:t xml:space="preserve"> sobre el eje α es \text{COR}_{</w:t>
      </w:r>
      <w:r>
        <w:rPr>
          <w:rStyle w:val="Emphasis"/>
          <w:shd w:fill="FFFFFF" w:val="clear"/>
        </w:rPr>
        <w:t>i</w:t>
      </w:r>
      <w:r>
        <w:rPr>
          <w:shd w:fill="FFFFFF" w:val="clear"/>
        </w:rPr>
        <w:t>α} = d</w:t>
      </w:r>
      <w:r>
        <w:rPr>
          <w:position w:val="6"/>
          <w:sz w:val="16"/>
          <w:shd w:fill="FFFFFF" w:val="clear"/>
        </w:rPr>
        <w:t>2</w:t>
      </w:r>
      <w:r>
        <w:rPr>
          <w:shd w:fill="FFFFFF" w:val="clear"/>
        </w:rPr>
        <w:t>(</w:t>
      </w:r>
      <w:r>
        <w:rPr>
          <w:rStyle w:val="Emphasis"/>
          <w:shd w:fill="FFFFFF" w:val="clear"/>
        </w:rPr>
        <w:t>i</w:t>
      </w:r>
      <w:r>
        <w:rPr>
          <w:shd w:fill="FFFFFF" w:val="clear"/>
        </w:rPr>
        <w:t>, α) / d</w:t>
      </w:r>
      <w:r>
        <w:rPr>
          <w:position w:val="6"/>
          <w:sz w:val="16"/>
          <w:shd w:fill="FFFFFF" w:val="clear"/>
        </w:rPr>
        <w:t>2</w:t>
      </w:r>
      <w:r>
        <w:rPr>
          <w:shd w:fill="FFFFFF" w:val="clear"/>
        </w:rPr>
        <w:t>(</w:t>
      </w:r>
      <w:r>
        <w:rPr>
          <w:rStyle w:val="Emphasis"/>
          <w:shd w:fill="FFFFFF" w:val="clear"/>
        </w:rPr>
        <w:t>i</w:t>
      </w:r>
      <w:r>
        <w:rPr>
          <w:shd w:fill="FFFFFF" w:val="clear"/>
        </w:rPr>
        <w:t>, G) ∈ [0, 1], la proporción de la inercia del elemento recuperada sobre ese eje; la CTR (contribución) es \text{CTR}_{</w:t>
      </w:r>
      <w:r>
        <w:rPr>
          <w:rStyle w:val="Emphasis"/>
          <w:shd w:fill="FFFFFF" w:val="clear"/>
        </w:rPr>
        <w:t>i</w:t>
      </w:r>
      <w:r>
        <w:rPr>
          <w:shd w:fill="FFFFFF" w:val="clear"/>
        </w:rPr>
        <w:t xml:space="preserve">α} = </w:t>
      </w:r>
      <w:r>
        <w:rPr>
          <w:rStyle w:val="Emphasis"/>
          <w:shd w:fill="FFFFFF" w:val="clear"/>
        </w:rPr>
        <w:t>p</w:t>
      </w:r>
      <w:r>
        <w:rPr>
          <w:rStyle w:val="Emphasis"/>
          <w:position w:val="-2"/>
          <w:sz w:val="16"/>
          <w:shd w:fill="FFFFFF" w:val="clear"/>
        </w:rPr>
        <w:t>i</w:t>
      </w:r>
      <w:r>
        <w:rPr>
          <w:shd w:fill="FFFFFF" w:val="clear"/>
        </w:rPr>
        <w:t xml:space="preserve"> \cdot d</w:t>
      </w:r>
      <w:r>
        <w:rPr>
          <w:position w:val="6"/>
          <w:sz w:val="16"/>
          <w:shd w:fill="FFFFFF" w:val="clear"/>
        </w:rPr>
        <w:t>2</w:t>
      </w:r>
      <w:r>
        <w:rPr>
          <w:shd w:fill="FFFFFF" w:val="clear"/>
        </w:rPr>
        <w:t>(</w:t>
      </w:r>
      <w:r>
        <w:rPr>
          <w:rStyle w:val="Emphasis"/>
          <w:shd w:fill="FFFFFF" w:val="clear"/>
        </w:rPr>
        <w:t>i</w:t>
      </w:r>
      <w:r>
        <w:rPr>
          <w:shd w:fill="FFFFFF" w:val="clear"/>
        </w:rPr>
        <w:t xml:space="preserve">, α) / λ_α, el peso relativo del elemento en la construcción de la varianza de ese eje (las contribuciones sobre un eje suman 100%); la varianza explicada acumulada, λ_α / \sum_β λ_β, es una propiedad del eje derivada de los autovalores, conceptualmente distinta de cualquier contribución elemental (Figura 10). </w:t>
      </w:r>
    </w:p>
    <w:p>
      <w:pPr>
        <w:pStyle w:val="BodyText"/>
        <w:numPr>
          <w:ilvl w:val="0"/>
          <w:numId w:val="18"/>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 / ANCORM):</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Dr. José Manuel Cornejo Álvarez (</w:t>
      </w:r>
      <w:r>
        <w:rPr>
          <w:rStyle w:val="Emphasis"/>
          <w:shd w:fill="FFFFFF" w:val="clear"/>
        </w:rPr>
        <w:t>ver Anexo II para su formulación analítica completa y reglas de tracción por CTA</w:t>
      </w:r>
      <w:r>
        <w:rPr>
          <w:shd w:fill="FFFFFF" w:val="clear"/>
        </w:rPr>
        <w:t xml:space="preserve">). </w:t>
      </w:r>
    </w:p>
    <w:p>
      <w:pPr>
        <w:pStyle w:val="BodyText"/>
        <w:numPr>
          <w:ilvl w:val="0"/>
          <w:numId w:val="18"/>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21431250"/>
            <wp:effectExtent l="0" t="0" r="0" b="0"/>
            <wp:docPr id="5" name="Imagen5" title="Figura 9: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9: Planos Duales en Paralelo (Biplot MESO F1 × F2, AFC ∥ PCA)"/>
                    <pic:cNvPicPr>
                      <a:picLocks noChangeAspect="1" noChangeArrowheads="1"/>
                    </pic:cNvPicPr>
                  </pic:nvPicPr>
                  <pic:blipFill>
                    <a:blip r:link="rId10"/>
                    <a:stretch>
                      <a:fillRect/>
                    </a:stretch>
                  </pic:blipFill>
                  <pic:spPr bwMode="auto">
                    <a:xfrm>
                      <a:off x="0" y="0"/>
                      <a:ext cx="720090" cy="21431250"/>
                    </a:xfrm>
                    <a:prstGeom prst="rect">
                      <a:avLst/>
                    </a:prstGeom>
                    <a:noFill/>
                  </pic:spPr>
                </pic:pic>
              </a:graphicData>
            </a:graphic>
          </wp:inline>
        </w:drawing>
      </w:r>
      <w:r>
        <w:rPr>
          <w:shd w:fill="FFFFFF" w:val="clear"/>
        </w:rPr>
        <w:t xml:space="preserve">Figura 9.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1432500"/>
            <wp:effectExtent l="0" t="0" r="0" b="0"/>
            <wp:docPr id="6" name="Imagen6" title="Figura 10: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10: Ejes verticales factoriales 1D (COR–CTA–CTR)"/>
                    <pic:cNvPicPr>
                      <a:picLocks noChangeAspect="1" noChangeArrowheads="1"/>
                    </pic:cNvPicPr>
                  </pic:nvPicPr>
                  <pic:blipFill>
                    <a:blip r:link="rId11"/>
                    <a:stretch>
                      <a:fillRect/>
                    </a:stretch>
                  </pic:blipFill>
                  <pic:spPr bwMode="auto">
                    <a:xfrm>
                      <a:off x="0" y="0"/>
                      <a:ext cx="720090" cy="31432500"/>
                    </a:xfrm>
                    <a:prstGeom prst="rect">
                      <a:avLst/>
                    </a:prstGeom>
                    <a:noFill/>
                  </pic:spPr>
                </pic:pic>
              </a:graphicData>
            </a:graphic>
          </wp:inline>
        </w:drawing>
      </w:r>
      <w:r>
        <w:rPr>
          <w:shd w:fill="FFFFFF" w:val="clear"/>
        </w:rPr>
        <w:t xml:space="preserve">Figura 10.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11: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11: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11.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no impone restricciones previas sobre el diseño experimental, articulándose sobre cuatro ejes fundamentales:</w:t>
      </w:r>
    </w:p>
    <w:p>
      <w:pPr>
        <w:pStyle w:val="BodyText"/>
        <w:numPr>
          <w:ilvl w:val="0"/>
          <w:numId w:val="19"/>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20"/>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21"/>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22"/>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23"/>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de forma nativa dos baterías estándar de calibración:</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normativas (en 3 modalidades homogéneas por ítem) que sitúan al actor en su coordenada biográfica, de rol formal, antigüedad o estatus institucional. </w:t>
      </w:r>
    </w:p>
    <w:p>
      <w:pPr>
        <w:pStyle w:val="BodyText"/>
        <w:numPr>
          <w:ilvl w:val="0"/>
          <w:numId w:val="24"/>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neutro de escape)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constituye el marco de referencia del Banco Sociométrico (BSOC) para garantizar la comparabilidad retrospectiva e histórica de sociomatrices provenientes de épocas, culturas y contextos organizacionales muy diversos.</w:t>
      </w:r>
    </w:p>
    <w:p>
      <w:pPr>
        <w:pStyle w:val="BodyText"/>
        <w:bidi w:val="0"/>
        <w:rPr>
          <w:shd w:fill="FFFFFF" w:val="clear"/>
        </w:rPr>
      </w:pPr>
      <w:r>
        <w:rPr>
          <w:shd w:fill="FFFFFF" w:val="clear"/>
        </w:rPr>
        <w:drawing>
          <wp:inline distT="0" distB="0" distL="0" distR="0">
            <wp:extent cx="720090" cy="140970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1409700"/>
                    </a:xfrm>
                    <a:prstGeom prst="rect">
                      <a:avLst/>
                    </a:prstGeom>
                    <a:noFill/>
                  </pic:spPr>
                </pic:pic>
              </a:graphicData>
            </a:graphic>
          </wp:inline>
        </w:drawing>
      </w:r>
      <w:r>
        <w:rPr>
          <w:shd w:fill="FFFFFF" w:val="clear"/>
        </w:rPr>
        <w:t xml:space="preserve">Tabla 4. Cuadro normativo de la batería de 10 variables contextuales (V₁₀, 3 modalidades) y 16 adjetivos de atribución grupal (A₁₆, 4 × 4, escala par 1–8 sin neutro).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Catálogo de los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Catálogo de los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Catálogo de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12) si dos grupos comparten la misma morfología relacional con independencia de las diferencias en sus tamaños muestrales. Más allá del acuerdo puntual entre observadores,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12: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12: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12.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A nivel del sujeto individual,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Laboratorio Físico, Sociometría Dialéctica y Cognición Triádica</w:t>
      </w:r>
    </w:p>
    <w:p>
      <w:pPr>
        <w:pStyle w:val="Heading3"/>
        <w:bidi w:val="0"/>
        <w:jc w:val="start"/>
        <w:rPr>
          <w:shd w:fill="FFFFFF" w:val="clear"/>
        </w:rPr>
      </w:pPr>
      <w:r>
        <w:rPr>
          <w:shd w:fill="FFFFFF" w:val="clear"/>
        </w:rPr>
        <w:t>6.1. Monitorización Experimental en el Laboratorio Físico</w:t>
      </w:r>
    </w:p>
    <w:p>
      <w:pPr>
        <w:pStyle w:val="BodyText"/>
        <w:bidi w:val="0"/>
        <w:rPr>
          <w:shd w:fill="FFFFFF" w:val="clear"/>
        </w:rPr>
      </w:pPr>
      <w:r>
        <w:rPr>
          <w:shd w:fill="FFFFFF" w:val="clear"/>
        </w:rPr>
        <w:t>La plataforma está diseñada para la monitorización de investigaciones experimentales complejas en laboratorio físico: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25"/>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13).</w:t>
      </w:r>
    </w:p>
    <w:p>
      <w:pPr>
        <w:pStyle w:val="BodyText"/>
        <w:bidi w:val="0"/>
        <w:rPr>
          <w:shd w:fill="FFFFFF" w:val="clear"/>
        </w:rPr>
      </w:pPr>
      <w:r>
        <w:rPr>
          <w:shd w:fill="FFFFFF" w:val="clear"/>
        </w:rPr>
        <w:drawing>
          <wp:inline distT="0" distB="0" distL="0" distR="0">
            <wp:extent cx="720090" cy="13811250"/>
            <wp:effectExtent l="0" t="0" r="0" b="0"/>
            <wp:docPr id="12" name="Imagen12" title="Figura 13: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13: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13.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La literatura dramática y la narrativa cinematográfica constituyen laboratorios humanos privilegiados: sistemas cerrados, perfectamente documentados y de reactividad cero (el texto no se altera por ser observado). NEXORD ha procesado obras maestras de la dramaturgia y la literatura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demostrando que las leyes socio-termodinámicas identifican con precisión matemática los nudos dramáticos, las transiciones de fase y los colapsos de liderazgo sin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extiende la captura de expectativas incorporando dos sensores de la teoría de la mente relacional:</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 xml:space="preserve">Mejor Valorado Esperado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26"/>
        </w:numPr>
        <w:tabs>
          <w:tab w:val="clear" w:pos="1134"/>
          <w:tab w:val="left" w:pos="709" w:leader="none"/>
        </w:tabs>
        <w:bidi w:val="0"/>
        <w:ind w:hanging="283" w:start="709"/>
        <w:rPr/>
      </w:pPr>
      <w:r>
        <w:rPr>
          <w:rStyle w:val="Strong"/>
          <w:shd w:fill="FFFFFF" w:val="clear"/>
        </w:rPr>
        <w:t xml:space="preserve">Peor Valorado Esperado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 el Motor PLATINUM</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motor de simulación sociométrica in silico (PLATINUM),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27"/>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motor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maestras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constituyen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28"/>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por el motor PLATINUM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29"/>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29"/>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motor PLATINUM. </w:t>
      </w:r>
    </w:p>
    <w:p>
      <w:pPr>
        <w:pStyle w:val="BodyText"/>
        <w:numPr>
          <w:ilvl w:val="0"/>
          <w:numId w:val="29"/>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29"/>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constituyen, asimismo, el banco de verdad conocida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determinar.</w:t>
      </w:r>
    </w:p>
    <w:p>
      <w:pPr>
        <w:pStyle w:val="Heading3"/>
        <w:bidi w:val="0"/>
        <w:jc w:val="start"/>
        <w:rPr>
          <w:shd w:fill="FFFFFF" w:val="clear"/>
        </w:rPr>
      </w:pPr>
      <w:r>
        <w:rPr>
          <w:shd w:fill="FFFFFF" w:val="clear"/>
        </w:rPr>
        <w:t>6.8. Horizontes de Futuro: Hacia una Sociometría Científica «Adulta» y la Física de lo Social a Gran Escala</w:t>
      </w:r>
    </w:p>
    <w:p>
      <w:pPr>
        <w:pStyle w:val="BodyText"/>
        <w:bidi w:val="0"/>
        <w:rPr>
          <w:shd w:fill="FFFFFF" w:val="clear"/>
        </w:rPr>
      </w:pPr>
      <w:r>
        <w:rPr>
          <w:shd w:fill="FFFFFF" w:val="clear"/>
        </w:rPr>
        <w:t>El desarrollo histórico de la sociometría, desde las intuiciones fundacionales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sociales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El sustrato cognitivo-emocional: de Sherif y Festinger al mapa ordinal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30"/>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30"/>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30"/>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de forma inmediata.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de forma heurística</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claridad meridiana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La termodinámica social como herramienta analítica</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31"/>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32"/>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33"/>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3. Un horizonte abierto para las nuevas generaciones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de forma explícita el uso de la sociometría para fines punitivos, expedientes disciplinarios, despidos o listas de descarte. Cualquier procesamiento sobre colectivos reales (categoría REAL) exige la autenticación, tutela y responsabilidad de un Investigador Principal (IP) debidamente acreditado.</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34"/>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34"/>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34"/>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34"/>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Riesgo de doble uso y declaración del creador</w:t>
      </w:r>
    </w:p>
    <w:p>
      <w:pPr>
        <w:pStyle w:val="BodyText"/>
        <w:bidi w:val="0"/>
        <w:rPr>
          <w:shd w:fill="FFFFFF" w:val="clear"/>
        </w:rPr>
      </w:pPr>
      <w:r>
        <w:rPr>
          <w:shd w:fill="FFFFFF" w:val="clear"/>
        </w:rPr>
        <w:t>La potencia diagnóstica que NEXORD ha podido desarrollar a través de sus múltiples algoritmos la convierte en un potencial «arma social» si su utilización cayera en manos desaprensivas e irresponsables. La información sociométrica es de alta sensibilidad social y susceptible de provocar daños personales y colectivos de gran magnitud sin una clara y expresa exigencia de supervisión académica institucional.</w:t>
      </w:r>
    </w:p>
    <w:p>
      <w:pPr>
        <w:pStyle w:val="BodyText"/>
        <w:bidi w:val="0"/>
        <w:rPr/>
      </w:pPr>
      <w:r>
        <w:rPr>
          <w:shd w:fill="FFFFFF" w:val="clear"/>
        </w:rPr>
        <w:t xml:space="preserve">Como creador de NEXORD y partidario convencido de la </w:t>
      </w:r>
      <w:r>
        <w:rPr>
          <w:rStyle w:val="Emphasis"/>
          <w:shd w:fill="FFFFFF" w:val="clear"/>
        </w:rPr>
        <w:t>Open Science</w:t>
      </w:r>
      <w:r>
        <w:rPr>
          <w:shd w:fill="FFFFFF" w:val="clear"/>
        </w:rPr>
        <w:t>, considero esencial el objetivo de total transparencia y difusión del conocimiento. Sin embargo, los graves riesgos que conllevaría una mala praxis sociométrica me impiden destinar la libre distribución de este software de investigación al público general, reservándolo para su utilización en instituciones científicas universitarias solventes. Por esa misma razón, NEXORD ha implementado rigurosos controles de seguridad por diseño (</w:t>
      </w:r>
      <w:r>
        <w:rPr>
          <w:rStyle w:val="Emphasis"/>
          <w:shd w:fill="FFFFFF" w:val="clear"/>
        </w:rPr>
        <w:t>security by design</w:t>
      </w:r>
      <w:r>
        <w:rPr>
          <w:shd w:fill="FFFFFF" w:val="clear"/>
        </w:rPr>
        <w:t>) que impedirán su funcionamiento si no se cumplen las condiciones de acreditación profesional e institucional de los Investigadores Principales (IP), así como su aceptación expresa del compromiso de hacer un uso ético y positivo, favorecedor del bienestar y la salud personal y grupal, cuando se trate de estudios reales de campo con seres humanos.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Plataforma informática, ni sus algoritmos son objeto de la protección de la propiedad intelectual; el Manifiesto se difunde abiertamente bajo licencia CC BY 4.0, y el control que aquí se defiende no es un control del conocimiento, sino del acceso operativo al instrumento.</w:t>
      </w:r>
    </w:p>
    <w:p>
      <w:pPr>
        <w:pStyle w:val="BodyText"/>
        <w:bidi w:val="0"/>
        <w:rPr>
          <w:shd w:fill="FFFFFF" w:val="clear"/>
        </w:rPr>
      </w:pPr>
      <w:r>
        <w:rPr>
          <w:shd w:fill="FFFFFF" w:val="clear"/>
        </w:rPr>
        <w:t>Desde el inicio del proyecto, su creador ha albergado la intención de legar el software a una institución universitaria o centro de investigación que lo acoja —a través de su fundación de transferencia—, que sería la depositaria y administradora única del software bajo su exclusiva supervisión, en caso de ampliar algún día su distribución a otros centros internacionales interesados. Como culminación de este esfuerzo y en correspondencia con mi condición de Profesor Emérito Jubilado de la Universitat de Barcelona (UB), manifiesto mi ofrecimiento formal de legar la titularidad y derechos de la Plataforma NEXORD a la Universitat de Barcelona a través de su fundación de transferencia (la Fundació Bosch i Gimpera, FBG), para que asuma su custodia institucional, la supervisión de sus estrictas garantías éticas y la gestión de convenios internacionales con centros acreditados de todo el mundo.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 / ANCORM)</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35"/>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8911" w:type="dxa"/>
        <w:jc w:val="start"/>
        <w:tblInd w:w="709" w:type="dxa"/>
        <w:shd w:fill="F8FAFC" w:val="clear"/>
        <w:tblLayout w:type="fixed"/>
        <w:tblCellMar>
          <w:top w:w="0" w:type="dxa"/>
          <w:start w:w="0" w:type="dxa"/>
          <w:bottom w:w="0" w:type="dxa"/>
          <w:end w:w="0" w:type="dxa"/>
        </w:tblCellMar>
      </w:tblPr>
      <w:tblGrid>
        <w:gridCol w:w="8911"/>
      </w:tblGrid>
      <w:tr>
        <w:trPr/>
        <w:tc>
          <w:tcPr>
            <w:tcW w:w="8911"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 / ANCORM del Dr. J. M. Cornejo Álvarez)</w:t>
      </w:r>
    </w:p>
    <w:p>
      <w:pPr>
        <w:pStyle w:val="BodyText"/>
        <w:bidi w:val="0"/>
        <w:rPr/>
      </w:pPr>
      <w:r>
        <w:rPr>
          <w:shd w:fill="FFFFFF" w:val="clear"/>
        </w:rPr>
        <w:t>Desarrollado en la tesis doctoral sobre Análisis de Correspondencias del Dr. Cornejo, 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Benzécri \chi</w:t>
      </w:r>
      <w:r>
        <w:rPr>
          <w:position w:val="6"/>
          <w:sz w:val="16"/>
          <w:shd w:fill="FFFFFF" w:val="clear"/>
        </w:rPr>
        <w:t>2</w:t>
      </w:r>
      <w:r>
        <w:rPr>
          <w:shd w:fill="FFFFFF" w:val="clear"/>
        </w:rPr>
        <w:t>, sin recurrir a recursos pictóricos auxiliares (como variaciones de color o grosor de nodo) que pudieran dificultar la lectura métrica precisa:</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Anclaje Basal Cartesiano (</w:t>
      </w:r>
      <w:r>
        <w:rPr>
          <w:rStyle w:val="Emphasis"/>
          <w:shd w:fill="FFFFFF" w:val="clear"/>
        </w:rPr>
        <w:t>F</w:t>
      </w:r>
      <w:r>
        <w:rPr>
          <w:rStyle w:val="Strong"/>
          <w:position w:val="-2"/>
          <w:sz w:val="16"/>
          <w:shd w:fill="FFFFFF" w:val="clear"/>
        </w:rPr>
        <w:t>1</w:t>
      </w:r>
      <w:r>
        <w:rPr>
          <w:rStyle w:val="Strong"/>
          <w:shd w:fill="FFFFFF" w:val="clear"/>
        </w:rPr>
        <w:t xml:space="preserve">, </w:t>
      </w:r>
      <w:r>
        <w:rPr>
          <w:rStyle w:val="Emphasis"/>
          <w:shd w:fill="FFFFFF" w:val="clear"/>
        </w:rPr>
        <w:t>F</w:t>
      </w:r>
      <w:r>
        <w:rPr>
          <w:rStyle w:val="Strong"/>
          <w:position w:val="-2"/>
          <w:sz w:val="16"/>
          <w:shd w:fill="FFFFFF" w:val="clear"/>
        </w:rPr>
        <w:t>2</w:t>
      </w:r>
      <w:r>
        <w:rPr>
          <w:rStyle w:val="Strong"/>
          <w:shd w:fill="FFFFFF" w:val="clear"/>
        </w:rPr>
        <w:t>):</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8774" w:type="dxa"/>
        <w:jc w:val="start"/>
        <w:tblInd w:w="709" w:type="dxa"/>
        <w:shd w:fill="F8FAFC" w:val="clear"/>
        <w:tblLayout w:type="fixed"/>
        <w:tblCellMar>
          <w:top w:w="0" w:type="dxa"/>
          <w:start w:w="0" w:type="dxa"/>
          <w:bottom w:w="0" w:type="dxa"/>
          <w:end w:w="0" w:type="dxa"/>
        </w:tblCellMar>
      </w:tblPr>
      <w:tblGrid>
        <w:gridCol w:w="8774"/>
      </w:tblGrid>
      <w:tr>
        <w:trPr/>
        <w:tc>
          <w:tcPr>
            <w:tcW w:w="877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37"/>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spacing w:before="0" w:after="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38"/>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39"/>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40"/>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41"/>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42"/>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43"/>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y distancias métricas continuas del espacio relacional.</w:t>
      </w:r>
    </w:p>
    <w:p>
      <w:pPr>
        <w:pStyle w:val="BodyText"/>
        <w:numPr>
          <w:ilvl w:val="0"/>
          <w:numId w:val="44"/>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44"/>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44"/>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