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(protocolos muy similares, dual-stack, pues ambos comparten un orden de elección/rechazo manifiesto; aunque ORBIT no se pronuncia directamente sobre las expectativas recíprocas, un algoritmo de conversión MORENO ⇔ ORBIT permite una estimación probabilística que completa ambas formas sociométricas). El tetragrama diádico (pDA \cdot DA \cdot REC \cdot pREC) es una elaboración totalmente moreniana y constituye la base sólida sobre la que se ha construido la Plataforma NEXORD.</w:t>
      </w:r>
    </w:p>
    <w:p>
      <w:pPr>
        <w:pStyle w:val="BodyText"/>
        <w:bidi w:val="0"/>
        <w:rPr>
          <w:shd w:fill="FFFFFF" w:val="clear"/>
        </w:rPr>
      </w:pPr>
      <w:r>
        <w:rPr>
          <w:shd w:fill="FFFFFF" w:val="clear"/>
        </w:rPr>
        <w:t>La deuda específica con Kurt Lewin está en el origen del lema «La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perfectamente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precisión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del orden jerárquico: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emisor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interdistancia entre los distintos rangos.</w:t>
      </w:r>
    </w:p>
    <w:p>
      <w:pPr>
        <w:pStyle w:val="BodyText"/>
        <w:bidi w:val="0"/>
        <w:rPr>
          <w:shd w:fill="FFFFFF" w:val="clear"/>
        </w:rPr>
      </w:pPr>
      <w:r>
        <w:rPr>
          <w:shd w:fill="FFFFFF" w:val="clear"/>
        </w:rPr>
        <w:t>En su formulación complementaria,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para aquellas métricas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Hecho Indisociable</w:t>
      </w:r>
    </w:p>
    <w:p>
      <w:pPr>
        <w:pStyle w:val="BodyText"/>
        <w:bidi w:val="0"/>
        <w:rPr>
          <w:shd w:fill="FFFFFF" w:val="clear"/>
        </w:rPr>
      </w:pPr>
      <w:r>
        <w:rPr>
          <w:shd w:fill="FFFFFF" w:val="clear"/>
        </w:rPr>
        <w:t>La emisión de preferencias (DAR) y la recepción de impacto recíproco (RECIBIR) no constituyen variables psicológicas independientes ni rasgos estables de personalidad: son momentos constitutivos, polares e indisociables de un único hecho relacional.</w:t>
      </w:r>
    </w:p>
    <w:p>
      <w:pPr>
        <w:pStyle w:val="BodyText"/>
        <w:bidi w:val="0"/>
        <w:rPr>
          <w:shd w:fill="FFFFFF" w:val="clear"/>
        </w:rPr>
      </w:pPr>
      <w:r>
        <w:rPr>
          <w:shd w:fill="FFFFFF" w:val="clear"/>
        </w:rPr>
        <w:t>El funcionamiento armónico o la fractura patológica de un grupo no residen en los individuos como tales, sino en la fluidez, simetría y ruptura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aunque pronto fue sustituido por una ponderación lineal inversa al rango (5-1).</w:t>
      </w:r>
    </w:p>
    <w:p>
      <w:pPr>
        <w:pStyle w:val="BodyText"/>
        <w:bidi w:val="0"/>
        <w:rPr/>
      </w:pPr>
      <w:r>
        <w:rPr>
          <w:shd w:fill="FFFFFF" w:val="clear"/>
        </w:rPr>
        <w:t>La Sociomatriz ORBIT (inicialmente denominada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grupo, donde el emisor ocupa su propio lugar como parte integrante que es. El orden total permite representar una secuencia completa de todos sus integrantes.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xml:space="preserve">) indican el orden en que </w:t>
      </w:r>
      <w:r>
        <w:rPr>
          <w:rStyle w:val="Emphasis"/>
          <w:shd w:fill="FFFFFF" w:val="clear"/>
        </w:rPr>
        <w:t>i</w:t>
      </w:r>
      <w:r>
        <w:rPr>
          <w:shd w:fill="FFFFFF" w:val="clear"/>
        </w:rPr>
        <w:t xml:space="preserve"> ha colocado a </w:t>
      </w:r>
      <w:r>
        <w:rPr>
          <w:rStyle w:val="Emphasis"/>
          <w:shd w:fill="FFFFFF" w:val="clear"/>
        </w:rPr>
        <w:t>j</w:t>
      </w:r>
      <w:r>
        <w:rPr>
          <w:shd w:fill="FFFFFF" w:val="clear"/>
        </w:rPr>
        <w:t>: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en caso necesario, dispone de un procedimiento de ordenación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shd w:fill="FFFFFF" w:val="clear"/>
        </w:rPr>
      </w:pPr>
      <w:r>
        <w:rPr>
          <w:shd w:fill="FFFFFF" w:val="clear"/>
        </w:rPr>
        <w:t>Asegurados los dos extremos de la lista (E y R), el valor que les corresponde a los intermedios es prácticamente insignificante.</w:t>
      </w:r>
    </w:p>
    <w:p>
      <w:pPr>
        <w:pStyle w:val="BodyText"/>
        <w:bidi w:val="0"/>
        <w:rPr>
          <w:shd w:fill="FFFFFF" w:val="clear"/>
        </w:rPr>
      </w:pPr>
      <w:r>
        <w:rPr>
          <w:shd w:fill="FFFFFF" w:val="clear"/>
        </w:rPr>
        <w:t>NEXORD resuelve la omisión secular de la diagonal principal sociométrica requiriendo que cada participante se auto-ubique en el ranking colectivo. Esta clausura topológica convierte la matriz en un espacio relacional completo y continuo, activando tres indicadores métricos: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fases de evolución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Efervescencia y Fusión Colectiva:</w:t>
      </w:r>
      <w:r>
        <w:rPr>
          <w:shd w:fill="FFFFFF" w:val="clear"/>
        </w:rPr>
        <w:t xml:space="preserve"> Alta activación emocional compartida e intensa movilización interactiva. </w:t>
      </w:r>
    </w:p>
    <w:p>
      <w:pPr>
        <w:pStyle w:val="BodyText"/>
        <w:bidi w:val="0"/>
        <w:rPr/>
      </w:pPr>
      <w:r>
        <w:rPr>
          <w:shd w:fill="FFFFFF" w:val="clear"/>
        </w:rPr>
        <w:t>Desde este punto de vista,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Universo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diferentes; combinadas las elecciones independientes de los cinco participantes, el espacio total de microestados asciende a 24</w:t>
      </w:r>
      <w:r>
        <w:rPr>
          <w:position w:val="6"/>
          <w:sz w:val="16"/>
          <w:shd w:fill="FFFFFF" w:val="clear"/>
        </w:rPr>
        <w:t>5</w:t>
      </w:r>
      <w:r>
        <w:rPr>
          <w:shd w:fill="FFFFFF" w:val="clear"/>
        </w:rPr>
        <w:t xml:space="preserve"> = 7.962.624 matrices.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tan solo para un grupo de 5. Ante estas cifras, la estabilidad termodinámica y la salud del sistema no dependen del azar, sino de la geometría del flujo energético: de la minimización de la disipación por ruptura y de la existencia de atractores estables.</w:t>
      </w:r>
    </w:p>
    <w:p>
      <w:pPr>
        <w:pStyle w:val="BodyText"/>
        <w:bidi w:val="0"/>
        <w:rPr>
          <w:shd w:fill="FFFFFF" w:val="clear"/>
        </w:rPr>
      </w:pPr>
      <w:r>
        <w:rPr>
          <w:shd w:fill="FFFFFF" w:val="clear"/>
        </w:rPr>
        <w:t>La inmensa mayoría de las combinaciones corresponderá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ruptura: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toda esta combinatoria, solo un porcentaje muy selecto accede a un estado óptimo: el bienestar grupal no es la ausencia de tensiones y conflictos sino un equilibrio entre ellos,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abismo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Los 12 Elementos Sintácticos y el Tetragrama Relacional A1 A2 A3 A4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Vértice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Vértice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pPr>
      <w:r>
        <w:rPr>
          <w:shd w:fill="FFFFFF" w:val="clear"/>
        </w:rPr>
        <w:t xml:space="preserve">donde: </w:t>
      </w:r>
      <w:r>
        <w:rPr>
          <w:rStyle w:val="Emphasis"/>
          <w:shd w:fill="FFFFFF" w:val="clear"/>
        </w:rPr>
        <w:t>D</w:t>
      </w:r>
      <w:r>
        <w:rPr>
          <w:position w:val="-2"/>
          <w:sz w:val="16"/>
          <w:shd w:fill="FFFFFF" w:val="clear"/>
        </w:rPr>
        <w:t>Q81</w:t>
      </w:r>
      <w:r>
        <w:rPr>
          <w:shd w:fill="FFFFFF" w:val="clear"/>
        </w:rPr>
        <w:t xml:space="preserve">(\text{&lt;Ee&gt;}) = Densidad Máxima Positiva (+1.000),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Densidad Neutra (0.000) y </w:t>
      </w:r>
      <w:r>
        <w:rPr>
          <w:rStyle w:val="Emphasis"/>
          <w:shd w:fill="FFFFFF" w:val="clear"/>
        </w:rPr>
        <w:t>D</w:t>
      </w:r>
      <w:r>
        <w:rPr>
          <w:position w:val="-2"/>
          <w:sz w:val="16"/>
          <w:shd w:fill="FFFFFF" w:val="clear"/>
        </w:rPr>
        <w:t>Q81</w:t>
      </w:r>
      <w:r>
        <w:rPr>
          <w:shd w:fill="FFFFFF" w:val="clear"/>
        </w:rPr>
        <w:t>(\text{[Rr]}) = Densidad Máxima Negativa (-1.000).</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como Unidad y el Diagnóstico Desdoblado</w:t>
      </w:r>
    </w:p>
    <w:p>
      <w:pPr>
        <w:pStyle w:val="BodyText"/>
        <w:bidi w:val="0"/>
        <w:rPr/>
      </w:pPr>
      <w:r>
        <w:rPr>
          <w:shd w:fill="FFFFFF" w:val="clear"/>
        </w:rPr>
        <w:t xml:space="preserve">La idea de dotar a cada miembro del grupo de una única figura relacional y de una única densidad global sólo es posible si se descarta un promedio de todas sus relaciones diádicas, lo que sería un procedimiento totalmente erróneo. NEXORD preserva la bidimensionalidad topológica desdoblando la posición del sujeto </w:t>
      </w:r>
      <w:r>
        <w:rPr>
          <w:rStyle w:val="Emphasis"/>
          <w:shd w:fill="FFFFFF" w:val="clear"/>
        </w:rPr>
        <w:t>i</w:t>
      </w:r>
      <w:r>
        <w:rPr>
          <w:shd w:fill="FFFFFF" w:val="clear"/>
        </w:rPr>
        <w:t xml:space="preserve"> a través de su Tríptico Estructural:</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Emisión (DA):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emitidas (</w:t>
      </w:r>
      <w:r>
        <w:rPr>
          <w:rStyle w:val="Emphasis"/>
          <w:shd w:fill="FFFFFF" w:val="clear"/>
        </w:rPr>
        <w:t>i</w:t>
      </w:r>
      <w:r>
        <w:rPr>
          <w:shd w:fill="FFFFFF" w:val="clear"/>
        </w:rPr>
        <w:t xml:space="preserve">, </w:t>
      </w:r>
      <w:r>
        <w:rPr>
          <w:rStyle w:val="Emphasis"/>
          <w:shd w:fill="FFFFFF" w:val="clear"/>
        </w:rPr>
        <w:t>j</w:t>
      </w:r>
      <w:r>
        <w:rPr>
          <w:shd w:fill="FFFFFF" w:val="clear"/>
        </w:rPr>
        <w:t xml:space="preserve">), determinando el semi-tetragrama emisor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\text{‘xx..’}.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Recepción (RC):</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promedio numérico </w:t>
      </w:r>
      <w:r>
        <w:rPr>
          <w:rStyle w:val="Emphasis"/>
          <w:shd w:fill="FFFFFF" w:val="clear"/>
        </w:rPr>
        <w:t>Q</w:t>
      </w:r>
      <w:r>
        <w:rPr>
          <w:position w:val="-2"/>
          <w:sz w:val="16"/>
          <w:shd w:fill="FFFFFF" w:val="clear"/>
        </w:rPr>
        <w:t>81</w:t>
      </w:r>
      <w:r>
        <w:rPr>
          <w:shd w:fill="FFFFFF" w:val="clear"/>
        </w:rPr>
        <w:t xml:space="preserve"> de las elecciones y expectativas recibidas (</w:t>
      </w:r>
      <w:r>
        <w:rPr>
          <w:rStyle w:val="Emphasis"/>
          <w:shd w:fill="FFFFFF" w:val="clear"/>
        </w:rPr>
        <w:t>j</w:t>
      </w:r>
      <w:r>
        <w:rPr>
          <w:shd w:fill="FFFFFF" w:val="clear"/>
        </w:rPr>
        <w:t xml:space="preserve">, </w:t>
      </w:r>
      <w:r>
        <w:rPr>
          <w:rStyle w:val="Emphasis"/>
          <w:shd w:fill="FFFFFF" w:val="clear"/>
        </w:rPr>
        <w:t>i</w:t>
      </w:r>
      <w:r>
        <w:rPr>
          <w:shd w:fill="FFFFFF" w:val="clear"/>
        </w:rPr>
        <w:t xml:space="preserve">), determinando el semi-tetragrama receptor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 \text{‘..yy’}. </w:t>
      </w:r>
    </w:p>
    <w:p>
      <w:pPr>
        <w:pStyle w:val="BodyText"/>
        <w:numPr>
          <w:ilvl w:val="0"/>
          <w:numId w:val="11"/>
        </w:numPr>
        <w:tabs>
          <w:tab w:val="clear" w:pos="1134"/>
          <w:tab w:val="left" w:pos="709" w:leader="none"/>
        </w:tabs>
        <w:bidi w:val="0"/>
        <w:spacing w:before="0" w:after="0"/>
        <w:ind w:hanging="283" w:start="709"/>
        <w:rPr/>
      </w:pPr>
      <w:r>
        <w:rPr>
          <w:rStyle w:val="Strong"/>
          <w:shd w:fill="FFFFFF" w:val="clear"/>
        </w:rPr>
        <w:t>Figura Global del Sujeto:</w:t>
      </w:r>
      <w:r>
        <w:rPr>
          <w:shd w:fill="FFFFFF" w:val="clear"/>
        </w:rPr>
        <w:t xml:space="preserve"> De la articulación de ambos polos emerge su tetragrama integral </w:t>
      </w:r>
      <w:r>
        <w:rPr>
          <w:rStyle w:val="Emphasis"/>
          <w:shd w:fill="FFFFFF" w:val="clear"/>
        </w:rPr>
        <w:t>F</w:t>
      </w:r>
      <w:r>
        <w:rPr>
          <w:rStyle w:val="Emphasis"/>
          <w:position w:val="-2"/>
          <w:sz w:val="16"/>
          <w:shd w:fill="FFFFFF" w:val="clear"/>
        </w:rPr>
        <w:t>i</w:t>
      </w:r>
      <w:r>
        <w:rPr>
          <w:shd w:fill="FFFFFF" w:val="clear"/>
        </w:rPr>
        <w:t xml:space="preserve">^{\text{global}} = \text{‘XXYY’}, cuyo valor </w:t>
      </w:r>
      <w:r>
        <w:rPr>
          <w:rStyle w:val="Emphasis"/>
          <w:shd w:fill="FFFFFF" w:val="clear"/>
        </w:rPr>
        <w:t>Q</w:t>
      </w:r>
      <w:r>
        <w:rPr>
          <w:position w:val="-2"/>
          <w:sz w:val="16"/>
          <w:shd w:fill="FFFFFF" w:val="clear"/>
        </w:rPr>
        <w:t>81</w:t>
      </w:r>
      <w:r>
        <w:rPr>
          <w:shd w:fill="FFFFFF" w:val="clear"/>
        </w:rPr>
        <w:t xml:space="preserve"> es el que corresponde canónicamente a la figura resultante. </w:t>
      </w:r>
    </w:p>
    <w:p>
      <w:pPr>
        <w:pStyle w:val="BodyText"/>
        <w:numPr>
          <w:ilvl w:val="0"/>
          <w:numId w:val="11"/>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w:t>
      </w:r>
      <w:r>
        <w:rPr>
          <w:rStyle w:val="Emphasis"/>
          <w:shd w:fill="FFFFFF" w:val="clear"/>
        </w:rPr>
        <w:t>Q</w:t>
      </w:r>
      <w:r>
        <w:rPr>
          <w:position w:val="-2"/>
          <w:sz w:val="16"/>
          <w:shd w:fill="FFFFFF" w:val="clear"/>
        </w:rPr>
        <w:t>81</w:t>
      </w:r>
      <w:r>
        <w:rPr>
          <w:shd w:fill="FFFFFF" w:val="clear"/>
        </w:rPr>
        <w:t xml:space="preserve">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2"/>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Moduladores Diádicos y las 18 Densidades Relacionales (Tablas 3b y 3c)</w:t>
      </w:r>
    </w:p>
    <w:p>
      <w:pPr>
        <w:pStyle w:val="BodyText"/>
        <w:bidi w:val="0"/>
        <w:rPr/>
      </w:pPr>
      <w:r>
        <w:rPr>
          <w:shd w:fill="FFFFFF" w:val="clear"/>
        </w:rPr>
        <w:t>La densidad relacional diádica cuantifica la masa térmica y estructural de cada vínculo interpersonal sobre el continuo termodinámico (\pm\mathbb{</w:t>
      </w:r>
      <w:r>
        <w:rPr>
          <w:rStyle w:val="Emphasis"/>
          <w:shd w:fill="FFFFFF" w:val="clear"/>
        </w:rPr>
        <w:t>R</w:t>
      </w:r>
      <w:r>
        <w:rPr>
          <w:shd w:fill="FFFFFF" w:val="clear"/>
        </w:rPr>
        <w:t>}). Para garantizar la máxima reproducibilidad y rigor analítico, el motor procesa cada interacción (</w:t>
      </w:r>
      <w:r>
        <w:rPr>
          <w:rStyle w:val="Emphasis"/>
          <w:shd w:fill="FFFFFF" w:val="clear"/>
        </w:rPr>
        <w:t>i</w:t>
      </w:r>
      <w:r>
        <w:rPr>
          <w:shd w:fill="FFFFFF" w:val="clear"/>
        </w:rPr>
        <w:t xml:space="preserve"> → </w:t>
      </w:r>
      <w:r>
        <w:rPr>
          <w:rStyle w:val="Emphasis"/>
          <w:shd w:fill="FFFFFF" w:val="clear"/>
        </w:rPr>
        <w:t>j</w:t>
      </w:r>
      <w:r>
        <w:rPr>
          <w:shd w:fill="FFFFFF" w:val="clear"/>
        </w:rPr>
        <w:t>) mediante seis moduladores matemáticos objetivos (Tabla 3b):</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shd w:fill="FFFFFF" w:val="clear"/>
        </w:rPr>
        <w:t xml:space="preserve">El cruce simétrico entre emisión y recepción en la sociomatriz genera las </w:t>
      </w:r>
      <w:r>
        <w:rPr>
          <w:rStyle w:val="Strong"/>
          <w:shd w:fill="FFFFFF" w:val="clear"/>
        </w:rPr>
        <w:t>18 Densidades Relacionales (18D)</w:t>
      </w:r>
      <w:r>
        <w:rPr>
          <w:shd w:fill="FFFFFF" w:val="clear"/>
        </w:rPr>
        <w:t xml:space="preserve"> de la Tabla 3c, regidas por dos prefijos universales: </w:t>
      </w:r>
      <w:r>
        <w:rPr>
          <w:rStyle w:val="Strong"/>
          <w:shd w:fill="FFFFFF" w:val="clear"/>
        </w:rPr>
        <w:t>S</w:t>
      </w:r>
      <w:r>
        <w:rPr>
          <w:shd w:fill="FFFFFF" w:val="clear"/>
        </w:rPr>
        <w:t xml:space="preserve"> (Saldo relativo con signo, \pm\mathbb{</w:t>
      </w:r>
      <w:r>
        <w:rPr>
          <w:rStyle w:val="Emphasis"/>
          <w:shd w:fill="FFFFFF" w:val="clear"/>
        </w:rPr>
        <w:t>R</w:t>
      </w:r>
      <w:r>
        <w:rPr>
          <w:shd w:fill="FFFFFF" w:val="clear"/>
        </w:rPr>
        <w:t xml:space="preserve">}, vector de atracción o rechazo) y </w:t>
      </w:r>
      <w:r>
        <w:rPr>
          <w:rStyle w:val="Strong"/>
          <w:shd w:fill="FFFFFF" w:val="clear"/>
        </w:rPr>
        <w:t>B</w:t>
      </w:r>
      <w:r>
        <w:rPr>
          <w:shd w:fill="FFFFFF" w:val="clear"/>
        </w:rPr>
        <w:t xml:space="preserve"> (Densidad bruta modular, |\cdot| ≥ 0, masa y energía total movilizada):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y el Pentagrama 10D (Figuras 8b y 8)</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tres particiones duales ortogonales independientes o </w:t>
      </w:r>
      <w:r>
        <w:rPr>
          <w:rStyle w:val="Strong"/>
          <w:shd w:fill="FFFFFF" w:val="clear"/>
        </w:rPr>
        <w:t>Prismas</w:t>
      </w:r>
      <w:r>
        <w:rPr>
          <w:shd w:fill="FFFFFF" w:val="clear"/>
        </w:rPr>
        <w:t xml:space="preserve"> (Figura 8b): el </w:t>
      </w:r>
      <w:r>
        <w:rPr>
          <w:rStyle w:val="Strong"/>
          <w:shd w:fill="FFFFFF" w:val="clear"/>
        </w:rPr>
        <w:t>Operativo</w:t>
      </w:r>
      <w:r>
        <w:rPr>
          <w:shd w:fill="FFFFFF" w:val="clear"/>
        </w:rPr>
        <w:t xml:space="preserve"> (10D: Dador vs. Receptor), el </w:t>
      </w:r>
      <w:r>
        <w:rPr>
          <w:rStyle w:val="Strong"/>
          <w:shd w:fill="FFFFFF" w:val="clear"/>
        </w:rPr>
        <w:t>Ontológico</w:t>
      </w:r>
      <w:r>
        <w:rPr>
          <w:shd w:fill="FFFFFF" w:val="clear"/>
        </w:rPr>
        <w:t xml:space="preserve"> (14D: Mente vs. Hechos) y el </w:t>
      </w:r>
      <w:r>
        <w:rPr>
          <w:rStyle w:val="Strong"/>
          <w:shd w:fill="FFFFFF" w:val="clear"/>
        </w:rPr>
        <w:t>Dialéctico</w:t>
      </w:r>
      <w:r>
        <w:rPr>
          <w:shd w:fill="FFFFFF" w:val="clear"/>
        </w:rPr>
        <w:t xml:space="preserve"> (18D: Realismo vs. Compromiso).</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(10D), Ontológico (14D) y Dialéctico (18D). </w:t>
      </w:r>
    </w:p>
    <w:p>
      <w:pPr>
        <w:pStyle w:val="BodyText"/>
        <w:bidi w:val="0"/>
        <w:rPr/>
      </w:pPr>
      <w:r>
        <w:rPr>
          <w:shd w:fill="FFFFFF" w:val="clear"/>
        </w:rPr>
        <w:t xml:space="preserve">En el plano operativo, el </w:t>
      </w:r>
      <w:r>
        <w:rPr>
          <w:rStyle w:val="Strong"/>
          <w:shd w:fill="FFFFFF" w:val="clear"/>
        </w:rPr>
        <w:t>Pentagrama Socio-Termodinámico</w:t>
      </w:r>
      <w:r>
        <w:rPr>
          <w:shd w:fill="FFFFFF" w:val="clear"/>
        </w:rPr>
        <w:t xml:space="preserve"> (Figura 8) articula las diez densidades canónicas desacoplando la emisión activa (SDA, BDA) del estatus receptivo (SRC, BRC), culminando en los invariantes globales SDR y BDR. La discrepancia analítica entre la energía total movilizada y el flujo neto resultante define formalmente la </w:t>
      </w:r>
      <w:r>
        <w:rPr>
          <w:rStyle w:val="Strong"/>
          <w:shd w:fill="FFFFFF" w:val="clear"/>
        </w:rPr>
        <w:t>Inercia del Desgaste Relacional</w:t>
      </w:r>
      <w:r>
        <w:rPr>
          <w:shd w:fill="FFFFFF" w:val="clear"/>
        </w:rPr>
        <w:t xml:space="preserve"> (I_{\text{desgaste}} = BDR - SDR), cuantificando la energía disipada en rumiación y fricción estéril antes de que afloren fracturas abiertas en el grupo.</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Fondo sumergido:</w:t>
      </w:r>
      <w:r>
        <w:rPr>
          <w:shd w:fill="FFFFFF" w:val="clear"/>
        </w:rPr>
        <w:t xml:space="preserve"> Zona de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Superficie del agua:</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13"/>
        </w:numPr>
        <w:tabs>
          <w:tab w:val="clear" w:pos="1134"/>
          <w:tab w:val="left" w:pos="709" w:leader="none"/>
        </w:tabs>
        <w:bidi w:val="0"/>
        <w:ind w:hanging="283" w:start="709"/>
        <w:rPr/>
      </w:pPr>
      <w:r>
        <w:rPr>
          <w:rStyle w:val="Strong"/>
          <w:shd w:fill="FFFFFF" w:val="clear"/>
        </w:rPr>
        <w:t>Cielo abierto:</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1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1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perceptibles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w:t>
      </w:r>
      <w:r>
        <w:rPr>
          <w:rStyle w:val="Textooriginal"/>
          <w:shd w:fill="FFFFFF" w:val="clear"/>
        </w:rPr>
        <w:t>&lt;Ee&gt;</w:t>
      </w:r>
      <w:r>
        <w:rPr>
          <w:shd w:fill="FFFFFF" w:val="clear"/>
        </w:rPr>
        <w:t>), zonas intermedias de oposición y filamentos de ruptura o fricción (</w:t>
      </w:r>
      <w:r>
        <w:rPr>
          <w:rStyle w:val="Textooriginal"/>
          <w:shd w:fill="FFFFFF" w:val="clear"/>
        </w:rPr>
        <w:t>[Rr]</w:t>
      </w:r>
      <w:r>
        <w:rPr>
          <w:shd w:fill="FFFFFF" w:val="clear"/>
        </w:rPr>
        <w:t xml:space="preserve">), con navegación temporal diacrónica (Figura 11).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(Figura 10). </w:t>
      </w:r>
    </w:p>
    <w:p>
      <w:pPr>
        <w:pStyle w:val="BodyText"/>
        <w:numPr>
          <w:ilvl w:val="0"/>
          <w:numId w:val="1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autor. </w:t>
      </w:r>
    </w:p>
    <w:p>
      <w:pPr>
        <w:pStyle w:val="BodyText"/>
        <w:numPr>
          <w:ilvl w:val="0"/>
          <w:numId w:val="1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se articula sobre cuatro ejes fundamentales:</w:t>
      </w:r>
    </w:p>
    <w:p>
      <w:pPr>
        <w:pStyle w:val="BodyText"/>
        <w:numPr>
          <w:ilvl w:val="0"/>
          <w:numId w:val="1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1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1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1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1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2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(en 3 modalidades homogéneas por ítem) que sitúan al actor en su coordenada biográfica, de rol formal, antigüedad o estatus institucional. </w:t>
      </w:r>
    </w:p>
    <w:p>
      <w:pPr>
        <w:pStyle w:val="BodyText"/>
        <w:numPr>
          <w:ilvl w:val="0"/>
          <w:numId w:val="2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medio)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diversos.</w:t>
      </w:r>
    </w:p>
    <w:p>
      <w:pPr>
        <w:pStyle w:val="BodyText"/>
        <w:bidi w:val="0"/>
        <w:rPr/>
      </w:pPr>
      <w:r>
        <w:rPr>
          <w:shd w:fill="FFFFFF" w:val="clear"/>
        </w:rPr>
        <w:t xml:space="preserve">La batería </w:t>
      </w:r>
      <w:r>
        <w:rPr>
          <w:rStyle w:val="Emphasis"/>
          <w:shd w:fill="FFFFFF" w:val="clear"/>
        </w:rPr>
        <w:t>A</w:t>
      </w:r>
      <w:r>
        <w:rPr>
          <w:position w:val="-2"/>
          <w:sz w:val="16"/>
          <w:shd w:fill="FFFFFF" w:val="clear"/>
        </w:rPr>
        <w:t>16</w:t>
      </w:r>
      <w:r>
        <w:rPr>
          <w:shd w:fill="FFFFFF" w:val="clear"/>
        </w:rPr>
        <w:t xml:space="preserve"> se estructura en cuatro factores canónicos que agrupan los dieciséis adjetivos normativos del sistema:</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Temático (TEMA):</w:t>
      </w:r>
      <w:r>
        <w:rPr>
          <w:shd w:fill="FFFFFF" w:val="clear"/>
        </w:rPr>
        <w:t xml:space="preserve"> </w:t>
      </w:r>
      <w:r>
        <w:rPr>
          <w:rStyle w:val="Emphasis"/>
          <w:shd w:fill="FFFFFF" w:val="clear"/>
        </w:rPr>
        <w:t>claro, coherente, flexible, consensuado</w:t>
      </w:r>
      <w:r>
        <w:rPr>
          <w:shd w:fill="FFFFFF" w:val="clear"/>
        </w:rPr>
        <w:t xml:space="preserve">. </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Funcional (FUNC):</w:t>
      </w:r>
      <w:r>
        <w:rPr>
          <w:shd w:fill="FFFFFF" w:val="clear"/>
        </w:rPr>
        <w:t xml:space="preserve"> </w:t>
      </w:r>
      <w:r>
        <w:rPr>
          <w:rStyle w:val="Emphasis"/>
          <w:shd w:fill="FFFFFF" w:val="clear"/>
        </w:rPr>
        <w:t>productivo, ordenado, activo, ejemplar</w:t>
      </w:r>
      <w:r>
        <w:rPr>
          <w:shd w:fill="FFFFFF" w:val="clear"/>
        </w:rPr>
        <w:t xml:space="preserve">. </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Cognitivo (COGN):</w:t>
      </w:r>
      <w:r>
        <w:rPr>
          <w:shd w:fill="FFFFFF" w:val="clear"/>
        </w:rPr>
        <w:t xml:space="preserve"> </w:t>
      </w:r>
      <w:r>
        <w:rPr>
          <w:rStyle w:val="Emphasis"/>
          <w:shd w:fill="FFFFFF" w:val="clear"/>
        </w:rPr>
        <w:t>abierto, crítico, perceptivo, expresivo</w:t>
      </w:r>
      <w:r>
        <w:rPr>
          <w:shd w:fill="FFFFFF" w:val="clear"/>
        </w:rPr>
        <w:t xml:space="preserve">. </w:t>
      </w:r>
    </w:p>
    <w:p>
      <w:pPr>
        <w:pStyle w:val="BodyText"/>
        <w:numPr>
          <w:ilvl w:val="0"/>
          <w:numId w:val="22"/>
        </w:numPr>
        <w:tabs>
          <w:tab w:val="clear" w:pos="1134"/>
          <w:tab w:val="left" w:pos="709" w:leader="none"/>
        </w:tabs>
        <w:bidi w:val="0"/>
        <w:ind w:hanging="283" w:start="709"/>
        <w:rPr/>
      </w:pPr>
      <w:r>
        <w:rPr>
          <w:rStyle w:val="Strong"/>
          <w:shd w:fill="FFFFFF" w:val="clear"/>
        </w:rPr>
        <w:t>Afectivo (AFEC):</w:t>
      </w:r>
      <w:r>
        <w:rPr>
          <w:shd w:fill="FFFFFF" w:val="clear"/>
        </w:rPr>
        <w:t xml:space="preserve"> </w:t>
      </w:r>
      <w:r>
        <w:rPr>
          <w:rStyle w:val="Emphasis"/>
          <w:shd w:fill="FFFFFF" w:val="clear"/>
        </w:rPr>
        <w:t>amistoso, leal, colaborador, tolerante</w:t>
      </w:r>
      <w:r>
        <w:rPr>
          <w:shd w:fill="FFFFFF" w:val="clear"/>
        </w:rPr>
        <w:t xml:space="preserve">. </w:t>
      </w:r>
    </w:p>
    <w:p>
      <w:pPr>
        <w:pStyle w:val="BodyText"/>
        <w:bidi w:val="0"/>
        <w:rPr>
          <w:shd w:fill="FFFFFF" w:val="clear"/>
        </w:rPr>
      </w:pPr>
      <w:r>
        <w:rPr>
          <w:shd w:fill="FFFFFF" w:val="clear"/>
        </w:rPr>
        <w:t>Por cada adjetivo, la división dicotómica de la valoración del grupo permite detectar, mediante los centroides de densidad de ambos extremos, sensibilidades distintivas en la percepción de la Actividad Grupal, inclusive cruzada con las variables sociodemográficas.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de la batería de 10 variables contextuales (V₁₀, 3 modalidades) y 16 adjetivos de atribución grupal (A₁₆, 4 × 4, escala par 1–8 sin puntuación media).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Aunque el acuerdo entre observadores es un componente apreciable de confiabilidad de los hallazgos de estructuras invariantes,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En los individuos,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Sociometría Dialéctica, Sociometría Sintética y Cognición Triádica</w:t>
      </w:r>
    </w:p>
    <w:p>
      <w:pPr>
        <w:pStyle w:val="Heading3"/>
        <w:bidi w:val="0"/>
        <w:jc w:val="start"/>
        <w:rPr>
          <w:shd w:fill="FFFFFF" w:val="clear"/>
        </w:rPr>
      </w:pPr>
      <w:r>
        <w:rPr>
          <w:shd w:fill="FFFFFF" w:val="clear"/>
        </w:rPr>
        <w:t>6.1. Monitorización Experimental en el Laboratorio Presencial</w:t>
      </w:r>
    </w:p>
    <w:p>
      <w:pPr>
        <w:pStyle w:val="BodyText"/>
        <w:bidi w:val="0"/>
        <w:rPr>
          <w:shd w:fill="FFFFFF" w:val="clear"/>
        </w:rPr>
      </w:pPr>
      <w:r>
        <w:rPr>
          <w:shd w:fill="FFFFFF" w:val="clear"/>
        </w:rPr>
        <w:t>La plataforma está diseñada para la monitorización de investigaciones experimentales complejas en laboratorio presencial: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 La aplicación a un grupo del formato ORBIT como PRE y/o POST en diseños experimentales se revela como una buena estrategia de contrastación en VD y VI.</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23"/>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las densidades del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Las obras maestras de la literatura universal y del cine están repletas, directa o indirectamente, de situaciones grupales con descripciones vívidas, realizadas por observadores perspicaces, de los entresijos de las relaciones humanas. El análisis de estas interacciones desde la perspectiva sociométrica constituye una alternativa «no reactiva» valiosa de acceso al estudio de estructuras grupales complejas.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incorpora a la sociometría de las metapercepciones y expectativas diádicas el nivel de las metapercepciones triádicas. Al preguntar a cada participante sobre las preferencias que cree que expresarán los sujetos que él mismo ha colocado en su primer y último puesto en la lista, se configura un espacio de cognición social triádica articulado por dos sensores fundamentales:</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 xml:space="preserve">Mejor Valorado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24"/>
        </w:numPr>
        <w:tabs>
          <w:tab w:val="clear" w:pos="1134"/>
          <w:tab w:val="left" w:pos="709" w:leader="none"/>
        </w:tabs>
        <w:bidi w:val="0"/>
        <w:ind w:hanging="283" w:start="709"/>
        <w:rPr/>
      </w:pPr>
      <w:r>
        <w:rPr>
          <w:rStyle w:val="Strong"/>
          <w:shd w:fill="FFFFFF" w:val="clear"/>
        </w:rPr>
        <w:t xml:space="preserve">Peor Valorado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algoritmo de simulación sociométrica in silico,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25"/>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algoritmo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26"/>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26"/>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algoritmo de simulación. </w:t>
      </w:r>
    </w:p>
    <w:p>
      <w:pPr>
        <w:pStyle w:val="BodyText"/>
        <w:numPr>
          <w:ilvl w:val="0"/>
          <w:numId w:val="27"/>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27"/>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aislar.</w:t>
      </w:r>
    </w:p>
    <w:p>
      <w:pPr>
        <w:pStyle w:val="Heading3"/>
        <w:bidi w:val="0"/>
        <w:jc w:val="start"/>
        <w:rPr>
          <w:shd w:fill="FFFFFF" w:val="clear"/>
        </w:rPr>
      </w:pPr>
      <w:r>
        <w:rPr>
          <w:shd w:fill="FFFFFF" w:val="clear"/>
        </w:rPr>
        <w:t>6.8. Horizontes de Futuro: Hacia una Sociometría Científica de mayor amplitud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relacionales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28"/>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28"/>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28"/>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29"/>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0"/>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31"/>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 profesional e institucionalmente.</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32"/>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32"/>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32"/>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32"/>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33"/>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w:t>
      </w:r>
    </w:p>
    <w:p>
      <w:pPr>
        <w:pStyle w:val="BodyText"/>
        <w:bidi w:val="0"/>
        <w:rPr/>
      </w:pPr>
      <w:r>
        <w:rPr>
          <w:shd w:fill="FFFFFF" w:val="clear"/>
        </w:rPr>
        <w:t>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sin recurrir a recursos pictóricos auxiliares (como variaciones de color o grosor de nodo) que pudieran dificultar la lectura métrica precisa:</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Anclaje Basal Cartesiano:</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35"/>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36"/>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36"/>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37"/>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37"/>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38"/>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39"/>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39"/>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0"/>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0"/>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41"/>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42"/>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