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Universidad de Barcelona (UB)</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V9.0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Emérito Jubilado · Psicología Social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constituye una actualización formal de las intuiciones fundacionales de Jacob Levy Moreno (Sociometría) y Kurt Lewin (Teoría del Campo), superando mediante el cómputo contemporáneo las restricciones metodológicas de su época. Este Manifiesto articula el modelo a través de siete pilares:</w:t>
      </w:r>
    </w:p>
    <w:p>
      <w:pPr>
        <w:pStyle w:val="BodyText"/>
        <w:bidi w:val="0"/>
        <w:rPr/>
      </w:pPr>
      <w:r>
        <w:rPr>
          <w:rStyle w:val="Strong"/>
          <w:shd w:fill="FFFFFF" w:val="clear"/>
        </w:rPr>
        <w:t>1)</w:t>
      </w:r>
      <w:r>
        <w:rPr>
          <w:shd w:fill="FFFFFF" w:val="clear"/>
        </w:rPr>
        <w:t xml:space="preserve"> La consideración del vínculo relacional como núcleo constitutivo de la realidad existencial de los grupos. «Dar y Recibir» conforman los polos indisociables de un circuito interactivo continuo, donde la salud, el bienestar y la viabilidad del colectivo dependen del equilibrio homeostático entre los intercambios interpersonales de aceptación y conflicto.</w:t>
      </w:r>
    </w:p>
    <w:p>
      <w:pPr>
        <w:pStyle w:val="BodyText"/>
        <w:bidi w:val="0"/>
        <w:rPr/>
      </w:pPr>
      <w:r>
        <w:rPr>
          <w:rStyle w:val="Strong"/>
          <w:shd w:fill="FFFFFF" w:val="clear"/>
        </w:rPr>
        <w:t>2)</w:t>
      </w:r>
      <w:r>
        <w:rPr>
          <w:shd w:fill="FFFFFF" w:val="clear"/>
        </w:rPr>
        <w:t xml:space="preserve"> La cuantificación rigurosa del orden jerárquico de elección mediante la función inversa al rango, formalizando que la mente humana prioriza y elige de manera ordinal sin necesidad de imponer escalas cardinales artificiales.</w:t>
      </w:r>
    </w:p>
    <w:p>
      <w:pPr>
        <w:pStyle w:val="BodyText"/>
        <w:bidi w:val="0"/>
        <w:rPr/>
      </w:pPr>
      <w:r>
        <w:rPr>
          <w:rStyle w:val="Strong"/>
          <w:shd w:fill="FFFFFF" w:val="clear"/>
        </w:rPr>
        <w:t>3)</w:t>
      </w:r>
      <w:r>
        <w:rPr>
          <w:shd w:fill="FFFFFF" w:val="clear"/>
        </w:rPr>
        <w:t xml:space="preserve"> La métrica continua, fruto de esta cuantificación del orden preferencial, articulada formalmente en el álgebra del tetragrama relacional y en metapercepciones de reciprocidad, transformando las micro-interacciones interpersonales en una topología plenamente computable.</w:t>
      </w:r>
    </w:p>
    <w:p>
      <w:pPr>
        <w:pStyle w:val="BodyText"/>
        <w:bidi w:val="0"/>
        <w:rPr/>
      </w:pPr>
      <w:r>
        <w:rPr>
          <w:rStyle w:val="Strong"/>
          <w:shd w:fill="FFFFFF" w:val="clear"/>
        </w:rPr>
        <w:t>4)</w:t>
      </w:r>
      <w:r>
        <w:rPr>
          <w:shd w:fill="FFFFFF" w:val="clear"/>
        </w:rPr>
        <w:t xml:space="preserve"> El modelado socio-termodinámico del colectivo a través de gradientes de densidad y fricción relacional (Φ), donde la discrepancia dialéctica moderada y la plasticidad interna actúan como condiciones necesarias para el aprendizaje y la adaptación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planos factoriales duales, donde los actores se representan a la vez como emisores y receptores de preferencias en equilibrio baricéntrico, permitiendo la comparación geométrica de estructuras grupales mediante variedades topológicas.</w:t>
      </w:r>
    </w:p>
    <w:p>
      <w:pPr>
        <w:pStyle w:val="BodyText"/>
        <w:bidi w:val="0"/>
        <w:rPr/>
      </w:pPr>
      <w:r>
        <w:rPr>
          <w:rStyle w:val="Strong"/>
          <w:shd w:fill="FFFFFF" w:val="clear"/>
        </w:rPr>
        <w:t>6)</w:t>
      </w:r>
      <w:r>
        <w:rPr>
          <w:shd w:fill="FFFFFF" w:val="clear"/>
        </w:rPr>
        <w:t xml:space="preserve"> La versatilidad del diseño multidimensional (G × T × C), que integra análisis transversales, longitudinales y de criterios plurales de tarea y afecto, complementado con las herramientas de visualización interactiva de la plataforma VISORD.</w:t>
      </w:r>
    </w:p>
    <w:p>
      <w:pPr>
        <w:pStyle w:val="BodyText"/>
        <w:bidi w:val="0"/>
        <w:rPr/>
      </w:pPr>
      <w:r>
        <w:rPr>
          <w:rStyle w:val="Strong"/>
          <w:shd w:fill="FFFFFF" w:val="clear"/>
        </w:rPr>
        <w:t>7)</w:t>
      </w:r>
      <w:r>
        <w:rPr>
          <w:shd w:fill="FFFFFF" w:val="clear"/>
        </w:rPr>
        <w:t xml:space="preserve"> El compromiso de gobernanza bajo principios de Ética por Diseño (</w:t>
      </w:r>
      <w:r>
        <w:rPr>
          <w:rStyle w:val="Emphasis"/>
          <w:shd w:fill="FFFFFF" w:val="clear"/>
        </w:rPr>
        <w:t>Ethics by Design</w:t>
      </w:r>
      <w:r>
        <w:rPr>
          <w:shd w:fill="FFFFFF" w:val="clear"/>
        </w:rPr>
        <w:t>) y Ciencia Abierta, garantizando un uso exclusivamente formativo y no punitivo de los datos, orientado a proteger la dignidad de los participantes y a preservar el patrimonio empírico mediante el Banco Sociométrico (BSOC).</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El propósito de la Sociometría Ordinal Computacional en NEXORD es actualizar metodológicamente la tradición fundacional de la psicología social: trasladar al plano computacional las intuiciones que ni Jacob Levy Moreno ni Kurt Lewin pudieron implementar con el instrumental técnico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intuiciones fundacionales, adaptándolas a las posibilidades técnicas del cómputo contemporáneo. La continuidad con la tradición fundacional no es únicamente cartográfica: NEXORD opera indistintamente con protocolos de captura MORENO y ORBIT (protocolos muy similares, dual-stack, pues ambos comparten un orden de elección/rechazo manifiesto; aunque ORBIT no se pronuncia directamente sobre las expectativas recíprocas, un algoritmo de conversión MORENO ⇔ ORBIT permite una estimación probabilística que completa ambas formas sociométricas). El tetragrama diádico (pDA \cdot DA \cdot REC \cdot pREC) es una elaboración totalmente moreniana y constituye la base sólida sobre la que se ha construido la Plataforma NEXORD.</w:t>
      </w:r>
    </w:p>
    <w:p>
      <w:pPr>
        <w:pStyle w:val="BodyText"/>
        <w:bidi w:val="0"/>
        <w:rPr>
          <w:shd w:fill="FFFFFF" w:val="clear"/>
        </w:rPr>
      </w:pPr>
      <w:r>
        <w:rPr>
          <w:shd w:fill="FFFFFF" w:val="clear"/>
        </w:rPr>
        <w:t>La deuda específica con Kurt Lewin está en el origen del lema «La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fundacional.</w:t>
      </w:r>
    </w:p>
    <w:p>
      <w:pPr>
        <w:pStyle w:val="BodyText"/>
        <w:bidi w:val="0"/>
        <w:rPr>
          <w:shd w:fill="FFFFFF" w:val="clear"/>
        </w:rPr>
      </w:pPr>
      <w:r>
        <w:rPr>
          <w:shd w:fill="FFFFFF" w:val="clear"/>
        </w:rPr>
        <w:t>Sin un marco ordinal estandarizado, los registros sociométricos clásicos resultaban difíciles de comparar entre sí. NEXORD aporta una estructura de referencia compartida donde la ordenación secuencial permite formalizar, integrar y comparar sistemáticamente las configuraciones grupales.</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perfectamente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precisión la estructura de las preferencias interpersonales sin imponer supuestos métricos a priori. En NEXORD, la métrica continua no se introduce como un postulado externo, sino que surge de forma analítica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del orden jerárquico: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emisor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interdistancia entre los distintos rangos.</w:t>
      </w:r>
    </w:p>
    <w:p>
      <w:pPr>
        <w:pStyle w:val="BodyText"/>
        <w:bidi w:val="0"/>
        <w:rPr>
          <w:shd w:fill="FFFFFF" w:val="clear"/>
        </w:rPr>
      </w:pPr>
      <w:r>
        <w:rPr>
          <w:shd w:fill="FFFFFF" w:val="clear"/>
        </w:rPr>
        <w:t>En su formulación complementaria,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constituye el operador de cuantificación del valor del orden preferencial y sustenta el motor relacional de la plataforma (pesos de las sociomatrices SMIb y decaimiento del campo); la transformación lineal acotada (2) es una simplificación operativa para aquellas métricas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Hecho Indisociable</w:t>
      </w:r>
    </w:p>
    <w:p>
      <w:pPr>
        <w:pStyle w:val="BodyText"/>
        <w:bidi w:val="0"/>
        <w:rPr>
          <w:shd w:fill="FFFFFF" w:val="clear"/>
        </w:rPr>
      </w:pPr>
      <w:r>
        <w:rPr>
          <w:shd w:fill="FFFFFF" w:val="clear"/>
        </w:rPr>
        <w:t>La emisión de preferencias (DAR) y la recepción de impacto recíproco (RECIBIR) no constituyen variables psicológicas independientes ni rasgos estables de personalidad: son momentos constitutivos, polares e indisociables de un único hecho relacional.</w:t>
      </w:r>
    </w:p>
    <w:p>
      <w:pPr>
        <w:pStyle w:val="BodyText"/>
        <w:bidi w:val="0"/>
        <w:rPr>
          <w:shd w:fill="FFFFFF" w:val="clear"/>
        </w:rPr>
      </w:pPr>
      <w:r>
        <w:rPr>
          <w:shd w:fill="FFFFFF" w:val="clear"/>
        </w:rPr>
        <w:t>El funcionamiento armónico o la fractura patológica de un grupo no residen en los individuos como tales, sino en la fluidez, simetría y ruptura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de forma natural a procedimientos de recuento basados en cuotas fijas (habitualmente tres elecciones y tres rechazos), donde cada mención recibía el mismo peso, aunque pronto fue sustituido por una ponderación lineal inversa al rango (5-1).</w:t>
      </w:r>
    </w:p>
    <w:p>
      <w:pPr>
        <w:pStyle w:val="BodyText"/>
        <w:bidi w:val="0"/>
        <w:rPr/>
      </w:pPr>
      <w:r>
        <w:rPr>
          <w:shd w:fill="FFFFFF" w:val="clear"/>
        </w:rPr>
        <w:t>La Sociomatriz ORBIT (inicialmente denominada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grupo, donde el emisor ocupa su propio lugar como parte integrante que es. El orden total permite representar una secuencia completa de todos sus integrantes.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xml:space="preserve">) indican el orden en que </w:t>
      </w:r>
      <w:r>
        <w:rPr>
          <w:rStyle w:val="Emphasis"/>
          <w:shd w:fill="FFFFFF" w:val="clear"/>
        </w:rPr>
        <w:t>i</w:t>
      </w:r>
      <w:r>
        <w:rPr>
          <w:shd w:fill="FFFFFF" w:val="clear"/>
        </w:rPr>
        <w:t xml:space="preserve"> ha colocado a </w:t>
      </w:r>
      <w:r>
        <w:rPr>
          <w:rStyle w:val="Emphasis"/>
          <w:shd w:fill="FFFFFF" w:val="clear"/>
        </w:rPr>
        <w:t>j</w:t>
      </w:r>
      <w:r>
        <w:rPr>
          <w:shd w:fill="FFFFFF" w:val="clear"/>
        </w:rPr>
        <w:t>: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de forma invariante la </w:t>
      </w:r>
      <w:r>
        <w:rPr>
          <w:rStyle w:val="Strong"/>
          <w:shd w:fill="FFFFFF" w:val="clear"/>
        </w:rPr>
        <w:t>propiedad de conservación de la suma ordinal por fila</w:t>
      </w:r>
      <w:r>
        <w:rPr>
          <w:shd w:fill="FFFFFF" w:val="clear"/>
        </w:rPr>
        <w:t>:</w:t>
      </w:r>
    </w:p>
    <w:tbl>
      <w:tblPr>
        <w:tblW w:w="6035" w:type="dxa"/>
        <w:jc w:val="start"/>
        <w:tblInd w:w="0" w:type="dxa"/>
        <w:shd w:fill="F8FAFC" w:val="clear"/>
        <w:tblLayout w:type="fixed"/>
        <w:tblCellMar>
          <w:top w:w="0" w:type="dxa"/>
          <w:start w:w="0" w:type="dxa"/>
          <w:bottom w:w="0" w:type="dxa"/>
          <w:end w:w="0" w:type="dxa"/>
        </w:tblCellMar>
      </w:tblPr>
      <w:tblGrid>
        <w:gridCol w:w="6035"/>
      </w:tblGrid>
      <w:tr>
        <w:trPr/>
        <w:tc>
          <w:tcPr>
            <w:tcW w:w="6035"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constituye el fundamento que hace posible la transposición bidireccional y exacta entre la sociomatriz clásica de Moreno y la sociomatriz ORBIT, así como la posterior derivación de los tetragramas relacionales:</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Matriz clásica de Moreno:</w:t>
      </w:r>
      <w:r>
        <w:rPr>
          <w:shd w:fill="FFFFFF" w:val="clear"/>
        </w:rPr>
        <w:t xml:space="preserve"> Sociomatriz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de entrada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Sociomatriz ORBIT:</w:t>
      </w:r>
      <w:r>
        <w:rPr>
          <w:shd w:fill="FFFFFF" w:val="clear"/>
        </w:rPr>
        <w:t xml:space="preserve"> Formato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Matrices SMI:</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en caso necesario, dispone de un procedimiento de ordenación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shd w:fill="FFFFFF" w:val="clear"/>
        </w:rPr>
      </w:pPr>
      <w:r>
        <w:rPr>
          <w:shd w:fill="FFFFFF" w:val="clear"/>
        </w:rPr>
        <w:t>Asegurados los dos extremos de la lista (E y R), el valor que les corresponde a los intermedios es prácticamente insignificante.</w:t>
      </w:r>
    </w:p>
    <w:p>
      <w:pPr>
        <w:pStyle w:val="BodyText"/>
        <w:bidi w:val="0"/>
        <w:rPr>
          <w:shd w:fill="FFFFFF" w:val="clear"/>
        </w:rPr>
      </w:pPr>
      <w:r>
        <w:rPr>
          <w:shd w:fill="FFFFFF" w:val="clear"/>
        </w:rPr>
        <w:t>NEXORD resuelve la omisión secular de la diagonal principal sociométrica requiriendo que cada participante se auto-ubique en el ranking colectivo. Esta clausura topológica convierte la matriz en un espacio relacional completo y continuo, activando tres indicadores métricos: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=1)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que las preferencias interpersonales se emiten desde una auto-posición de referencia: hacia arriba o hacia abajo respecto del propio horizonte subjetivo.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fases de evolución psicológica e interpersonal:</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Rigidez e Inercia Estructural:</w:t>
      </w:r>
      <w:r>
        <w:rPr>
          <w:shd w:fill="FFFFFF" w:val="clear"/>
        </w:rPr>
        <w:t xml:space="preserve"> Cristalizaciones jerárquicas rígidas, roles inmóviles y escasa permeabilidad comunicativa.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Fluidez y Cohesión Adaptativa:</w:t>
      </w:r>
      <w:r>
        <w:rPr>
          <w:shd w:fill="FFFFFF" w:val="clear"/>
        </w:rPr>
        <w:t xml:space="preserve"> Homeostasis abierta con circulación flexible de preferencias, acuerdos y divergencias.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Dispersión y Anomia:</w:t>
      </w:r>
      <w:r>
        <w:rPr>
          <w:shd w:fill="FFFFFF" w:val="clear"/>
        </w:rPr>
        <w:t xml:space="preserve"> Baja densidad de acoplamiento, desvinculación afectiva y ausencia de proyectos compartidos. </w:t>
      </w:r>
    </w:p>
    <w:p>
      <w:pPr>
        <w:pStyle w:val="BodyText"/>
        <w:numPr>
          <w:ilvl w:val="0"/>
          <w:numId w:val="7"/>
        </w:numPr>
        <w:tabs>
          <w:tab w:val="clear" w:pos="1134"/>
          <w:tab w:val="left" w:pos="709" w:leader="none"/>
        </w:tabs>
        <w:bidi w:val="0"/>
        <w:ind w:hanging="283" w:start="709"/>
        <w:rPr/>
      </w:pPr>
      <w:r>
        <w:rPr>
          <w:rStyle w:val="Strong"/>
          <w:shd w:fill="FFFFFF" w:val="clear"/>
        </w:rPr>
        <w:t>Efervescencia y Fusión Colectiva:</w:t>
      </w:r>
      <w:r>
        <w:rPr>
          <w:shd w:fill="FFFFFF" w:val="clear"/>
        </w:rPr>
        <w:t xml:space="preserve"> Alta activación emocional compartida e intensa movilización interactiva. </w:t>
      </w:r>
    </w:p>
    <w:p>
      <w:pPr>
        <w:pStyle w:val="BodyText"/>
        <w:bidi w:val="0"/>
        <w:rPr/>
      </w:pPr>
      <w:r>
        <w:rPr>
          <w:shd w:fill="FFFFFF" w:val="clear"/>
        </w:rPr>
        <w:t>Desde este punto de vista, NEXORD cuestiona radicalmente el supuesto tradicional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Universo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diferentes; combinadas las elecciones independientes de los cinco participantes, el espacio total de microestados asciende a 24</w:t>
      </w:r>
      <w:r>
        <w:rPr>
          <w:position w:val="6"/>
          <w:sz w:val="16"/>
          <w:shd w:fill="FFFFFF" w:val="clear"/>
        </w:rPr>
        <w:t>5</w:t>
      </w:r>
      <w:r>
        <w:rPr>
          <w:shd w:fill="FFFFFF" w:val="clear"/>
        </w:rPr>
        <w:t xml:space="preserve"> = 7.962.624 matrices.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tan solo para un grupo de 5. Ante estas cifras, la estabilidad termodinámica y la salud del sistema no dependen del azar, sino de la geometría del flujo energético: de la minimización de la disipación por ruptura y de la existencia de atractores estables.</w:t>
      </w:r>
    </w:p>
    <w:p>
      <w:pPr>
        <w:pStyle w:val="BodyText"/>
        <w:bidi w:val="0"/>
        <w:rPr>
          <w:shd w:fill="FFFFFF" w:val="clear"/>
        </w:rPr>
      </w:pPr>
      <w:r>
        <w:rPr>
          <w:shd w:fill="FFFFFF" w:val="clear"/>
        </w:rPr>
        <w:t>La inmensa mayoría de las combinaciones corresponderá a ruido térmico (matrices disonantes de alta fricción) o a trampas de congelación (fallas tectónicas y monopolios asfixiantes). Para que un microestado supere los umbrales de organización productiva y saludable debe satisfacer de forma simultánea tres invariantes termodinámicas: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Minimización de la disipación por ruptura: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8"/>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toda esta combinatoria, solo un porcentaje muy selecto accede a un estado óptimo: el bienestar grupal no es la ausencia de tensiones y conflictos sino un equilibrio entre ellos, donde nadie queda condenado al cero absoluto ni forzado a sostener en soledad el peso del conjunto.</w:t>
      </w:r>
    </w:p>
    <w:p>
      <w:pPr>
        <w:pStyle w:val="BodyText"/>
        <w:bidi w:val="0"/>
        <w:rPr>
          <w:shd w:fill="FFFFFF" w:val="clear"/>
        </w:rPr>
      </w:pPr>
      <w:r>
        <w:rPr>
          <w:shd w:fill="FFFFFF" w:val="clear"/>
        </w:rPr>
        <w:t>En síntesis: la viabilidad y el bienestar del colectivo no dependen de voluntarismos individuales, sino del equilibrio estructural de sus intercambios. Un grupo funcional mantiene flujos recíprocos sostenibles, minimiza la fricción disipativa y evita asimetrías extremas donde la sobrecarga o el aislamiento se concentren de forma crónica en miembros particulares.</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Los 12 Elementos Sintácticos y el Tetragrama Relacional A1 A2 A3 A4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6035" w:type="dxa"/>
        <w:jc w:val="start"/>
        <w:tblInd w:w="0" w:type="dxa"/>
        <w:tblLayout w:type="fixed"/>
        <w:tblCellMar>
          <w:top w:w="90" w:type="dxa"/>
          <w:start w:w="105" w:type="dxa"/>
          <w:bottom w:w="90" w:type="dxa"/>
          <w:end w:w="105" w:type="dxa"/>
        </w:tblCellMar>
      </w:tblPr>
      <w:tblGrid>
        <w:gridCol w:w="1116"/>
        <w:gridCol w:w="764"/>
        <w:gridCol w:w="670"/>
        <w:gridCol w:w="1063"/>
        <w:gridCol w:w="1135"/>
        <w:gridCol w:w="1287"/>
      </w:tblGrid>
      <w:tr>
        <w:trPr/>
        <w:tc>
          <w:tcPr>
            <w:tcW w:w="111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76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67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06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113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2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6035" w:type="dxa"/>
        <w:jc w:val="start"/>
        <w:tblInd w:w="0" w:type="dxa"/>
        <w:tblLayout w:type="fixed"/>
        <w:tblCellMar>
          <w:top w:w="90" w:type="dxa"/>
          <w:start w:w="105" w:type="dxa"/>
          <w:bottom w:w="90" w:type="dxa"/>
          <w:end w:w="105" w:type="dxa"/>
        </w:tblCellMar>
      </w:tblPr>
      <w:tblGrid>
        <w:gridCol w:w="2313"/>
        <w:gridCol w:w="1397"/>
        <w:gridCol w:w="2325"/>
      </w:tblGrid>
      <w:tr>
        <w:trPr/>
        <w:tc>
          <w:tcPr>
            <w:tcW w:w="231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3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2325"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31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3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232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Vértice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9"/>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0"/>
        </w:numPr>
        <w:tabs>
          <w:tab w:val="clear" w:pos="1134"/>
          <w:tab w:val="left" w:pos="709" w:leader="none"/>
        </w:tabs>
        <w:bidi w:val="0"/>
        <w:ind w:hanging="283" w:start="709"/>
        <w:rPr/>
      </w:pPr>
      <w:r>
        <w:rPr>
          <w:rStyle w:val="Strong"/>
          <w:shd w:fill="FFFFFF" w:val="clear"/>
        </w:rPr>
        <w:t>Vértice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canónico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pPr>
      <w:r>
        <w:rPr>
          <w:shd w:fill="FFFFFF" w:val="clear"/>
        </w:rPr>
        <w:t xml:space="preserve">donde: </w:t>
      </w:r>
      <w:r>
        <w:rPr>
          <w:rStyle w:val="Emphasis"/>
          <w:shd w:fill="FFFFFF" w:val="clear"/>
        </w:rPr>
        <w:t>D</w:t>
      </w:r>
      <w:r>
        <w:rPr>
          <w:position w:val="-2"/>
          <w:sz w:val="16"/>
          <w:shd w:fill="FFFFFF" w:val="clear"/>
        </w:rPr>
        <w:t>Q81</w:t>
      </w:r>
      <w:r>
        <w:rPr>
          <w:shd w:fill="FFFFFF" w:val="clear"/>
        </w:rPr>
        <w:t xml:space="preserve">(\text{&lt;Ee&gt;}) = Densidad Máxima Positiva (+1.000),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Densidad Neutra (0.000) y </w:t>
      </w:r>
      <w:r>
        <w:rPr>
          <w:rStyle w:val="Emphasis"/>
          <w:shd w:fill="FFFFFF" w:val="clear"/>
        </w:rPr>
        <w:t>D</w:t>
      </w:r>
      <w:r>
        <w:rPr>
          <w:position w:val="-2"/>
          <w:sz w:val="16"/>
          <w:shd w:fill="FFFFFF" w:val="clear"/>
        </w:rPr>
        <w:t>Q81</w:t>
      </w:r>
      <w:r>
        <w:rPr>
          <w:shd w:fill="FFFFFF" w:val="clear"/>
        </w:rPr>
        <w:t>(\text{[Rr]}) = Densidad Máxima Negativa (-1.000).</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3a.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como Unidad y el Diagnóstico Desdoblado</w:t>
      </w:r>
    </w:p>
    <w:p>
      <w:pPr>
        <w:pStyle w:val="BodyText"/>
        <w:bidi w:val="0"/>
        <w:rPr/>
      </w:pPr>
      <w:r>
        <w:rPr>
          <w:shd w:fill="FFFFFF" w:val="clear"/>
        </w:rPr>
        <w:t xml:space="preserve">La idea de dotar a cada miembro del grupo de una única figura relacional y de una única densidad global sólo es posible si se descarta un promedio de todas sus relaciones diádicas, lo que sería un procedimiento totalmente erróneo. NEXORD preserva la bidimensionalidad topológica desdoblando la posición del sujeto </w:t>
      </w:r>
      <w:r>
        <w:rPr>
          <w:rStyle w:val="Emphasis"/>
          <w:shd w:fill="FFFFFF" w:val="clear"/>
        </w:rPr>
        <w:t>i</w:t>
      </w:r>
      <w:r>
        <w:rPr>
          <w:shd w:fill="FFFFFF" w:val="clear"/>
        </w:rPr>
        <w:t xml:space="preserve"> a través de su Tríptico Estructural:</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Emisión (DA):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emitidas (</w:t>
      </w:r>
      <w:r>
        <w:rPr>
          <w:rStyle w:val="Emphasis"/>
          <w:shd w:fill="FFFFFF" w:val="clear"/>
        </w:rPr>
        <w:t>i</w:t>
      </w:r>
      <w:r>
        <w:rPr>
          <w:shd w:fill="FFFFFF" w:val="clear"/>
        </w:rPr>
        <w:t xml:space="preserve">, </w:t>
      </w:r>
      <w:r>
        <w:rPr>
          <w:rStyle w:val="Emphasis"/>
          <w:shd w:fill="FFFFFF" w:val="clear"/>
        </w:rPr>
        <w:t>j</w:t>
      </w:r>
      <w:r>
        <w:rPr>
          <w:shd w:fill="FFFFFF" w:val="clear"/>
        </w:rPr>
        <w:t xml:space="preserve">), determinando el semi-tetragrama emisor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\text{‘xx..’}.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Recepción (RC):</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recibidas (</w:t>
      </w:r>
      <w:r>
        <w:rPr>
          <w:rStyle w:val="Emphasis"/>
          <w:shd w:fill="FFFFFF" w:val="clear"/>
        </w:rPr>
        <w:t>j</w:t>
      </w:r>
      <w:r>
        <w:rPr>
          <w:shd w:fill="FFFFFF" w:val="clear"/>
        </w:rPr>
        <w:t xml:space="preserve">, </w:t>
      </w:r>
      <w:r>
        <w:rPr>
          <w:rStyle w:val="Emphasis"/>
          <w:shd w:fill="FFFFFF" w:val="clear"/>
        </w:rPr>
        <w:t>i</w:t>
      </w:r>
      <w:r>
        <w:rPr>
          <w:shd w:fill="FFFFFF" w:val="clear"/>
        </w:rPr>
        <w:t xml:space="preserve">), determinando el semi-tetragrama receptor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\text{‘..yy’}.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Figura Global del Sujeto:</w:t>
      </w:r>
      <w:r>
        <w:rPr>
          <w:shd w:fill="FFFFFF" w:val="clear"/>
        </w:rPr>
        <w:t xml:space="preserve"> De la articulación de ambos polos emerge su tetragrama integral </w:t>
      </w:r>
      <w:r>
        <w:rPr>
          <w:rStyle w:val="Emphasis"/>
          <w:shd w:fill="FFFFFF" w:val="clear"/>
        </w:rPr>
        <w:t>F</w:t>
      </w:r>
      <w:r>
        <w:rPr>
          <w:rStyle w:val="Emphasis"/>
          <w:position w:val="-2"/>
          <w:sz w:val="16"/>
          <w:shd w:fill="FFFFFF" w:val="clear"/>
        </w:rPr>
        <w:t>i</w:t>
      </w:r>
      <w:r>
        <w:rPr>
          <w:shd w:fill="FFFFFF" w:val="clear"/>
        </w:rPr>
        <w:t xml:space="preserve">^{\text{global}} = \text{‘XXYY’}, cuyo valor </w:t>
      </w:r>
      <w:r>
        <w:rPr>
          <w:rStyle w:val="Emphasis"/>
          <w:shd w:fill="FFFFFF" w:val="clear"/>
        </w:rPr>
        <w:t>Q</w:t>
      </w:r>
      <w:r>
        <w:rPr>
          <w:position w:val="-2"/>
          <w:sz w:val="16"/>
          <w:shd w:fill="FFFFFF" w:val="clear"/>
        </w:rPr>
        <w:t>81</w:t>
      </w:r>
      <w:r>
        <w:rPr>
          <w:shd w:fill="FFFFFF" w:val="clear"/>
        </w:rPr>
        <w:t xml:space="preserve"> es el que corresponde canónicamente a la figura resultante. </w:t>
      </w:r>
    </w:p>
    <w:p>
      <w:pPr>
        <w:pStyle w:val="BodyText"/>
        <w:numPr>
          <w:ilvl w:val="0"/>
          <w:numId w:val="11"/>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w:t>
      </w:r>
      <w:r>
        <w:rPr>
          <w:rStyle w:val="Emphasis"/>
          <w:shd w:fill="FFFFFF" w:val="clear"/>
        </w:rPr>
        <w:t>Q</w:t>
      </w:r>
      <w:r>
        <w:rPr>
          <w:position w:val="-2"/>
          <w:sz w:val="16"/>
          <w:shd w:fill="FFFFFF" w:val="clear"/>
        </w:rPr>
        <w:t>81</w:t>
      </w:r>
      <w:r>
        <w:rPr>
          <w:shd w:fill="FFFFFF" w:val="clear"/>
        </w:rPr>
        <w:t xml:space="preserve">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2"/>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Moduladores Diádicos y las 18 Densidades Relacionales (Tablas 3b y 3c)</w:t>
      </w:r>
    </w:p>
    <w:p>
      <w:pPr>
        <w:pStyle w:val="BodyText"/>
        <w:bidi w:val="0"/>
        <w:rPr/>
      </w:pPr>
      <w:r>
        <w:rPr>
          <w:shd w:fill="FFFFFF" w:val="clear"/>
        </w:rPr>
        <w:t>La densidad relacional diádica cuantifica la masa térmica y estructural de cada vínculo interpersonal sobre el continuo termodinámico (\pm\mathbb{</w:t>
      </w:r>
      <w:r>
        <w:rPr>
          <w:rStyle w:val="Emphasis"/>
          <w:shd w:fill="FFFFFF" w:val="clear"/>
        </w:rPr>
        <w:t>R</w:t>
      </w:r>
      <w:r>
        <w:rPr>
          <w:shd w:fill="FFFFFF" w:val="clear"/>
        </w:rPr>
        <w:t>}). Para garantizar la máxima reproducibilidad y rigor analítico, el motor procesa cada interacción (</w:t>
      </w:r>
      <w:r>
        <w:rPr>
          <w:rStyle w:val="Emphasis"/>
          <w:shd w:fill="FFFFFF" w:val="clear"/>
        </w:rPr>
        <w:t>i</w:t>
      </w:r>
      <w:r>
        <w:rPr>
          <w:shd w:fill="FFFFFF" w:val="clear"/>
        </w:rPr>
        <w:t xml:space="preserve"> → </w:t>
      </w:r>
      <w:r>
        <w:rPr>
          <w:rStyle w:val="Emphasis"/>
          <w:shd w:fill="FFFFFF" w:val="clear"/>
        </w:rPr>
        <w:t>j</w:t>
      </w:r>
      <w:r>
        <w:rPr>
          <w:shd w:fill="FFFFFF" w:val="clear"/>
        </w:rPr>
        <w:t>) mediante seis moduladores matemáticos objetivos (Tabla 3b):</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6035" w:type="dxa"/>
        <w:jc w:val="start"/>
        <w:tblInd w:w="0" w:type="dxa"/>
        <w:tblLayout w:type="fixed"/>
        <w:tblCellMar>
          <w:top w:w="90" w:type="dxa"/>
          <w:start w:w="105" w:type="dxa"/>
          <w:bottom w:w="90" w:type="dxa"/>
          <w:end w:w="105" w:type="dxa"/>
        </w:tblCellMar>
      </w:tblPr>
      <w:tblGrid>
        <w:gridCol w:w="1264"/>
        <w:gridCol w:w="1510"/>
        <w:gridCol w:w="1193"/>
        <w:gridCol w:w="2068"/>
      </w:tblGrid>
      <w:tr>
        <w:trPr/>
        <w:tc>
          <w:tcPr>
            <w:tcW w:w="126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151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19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206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de forma no lineal (</w:t>
            </w:r>
            <w:r>
              <w:rPr>
                <w:rStyle w:val="Emphasis"/>
                <w:sz w:val="17"/>
              </w:rPr>
              <w:t>k</w:t>
            </w:r>
            <w:r>
              <w:rPr>
                <w:sz w:val="17"/>
              </w:rPr>
              <w:t xml:space="preserve"> ≥ 1.0) la baja priorización atencional.</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Bonificación por concordancia entre la percepción subjetiva y la elección efectiva observada.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Ponderación negativa proporcional a la centralidad del emisor: las discrepancias de nodos centrales ejercen mayor impacto sobre la red.</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Ponderación atribuida al registro de expectativas relacionales frente a la ausencia de metapercepción.</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shd w:fill="FFFFFF" w:val="clear"/>
        </w:rPr>
        <w:t xml:space="preserve">El cruce simétrico entre emisión y recepción en la sociomatriz genera las </w:t>
      </w:r>
      <w:r>
        <w:rPr>
          <w:rStyle w:val="Strong"/>
          <w:shd w:fill="FFFFFF" w:val="clear"/>
        </w:rPr>
        <w:t>18 Densidades Relacionales (18D)</w:t>
      </w:r>
      <w:r>
        <w:rPr>
          <w:shd w:fill="FFFFFF" w:val="clear"/>
        </w:rPr>
        <w:t xml:space="preserve"> de la Tabla 3c, regidas por dos prefijos universales: </w:t>
      </w:r>
      <w:r>
        <w:rPr>
          <w:rStyle w:val="Strong"/>
          <w:shd w:fill="FFFFFF" w:val="clear"/>
        </w:rPr>
        <w:t>S</w:t>
      </w:r>
      <w:r>
        <w:rPr>
          <w:shd w:fill="FFFFFF" w:val="clear"/>
        </w:rPr>
        <w:t xml:space="preserve"> (Saldo relativo con signo, \pm\mathbb{</w:t>
      </w:r>
      <w:r>
        <w:rPr>
          <w:rStyle w:val="Emphasis"/>
          <w:shd w:fill="FFFFFF" w:val="clear"/>
        </w:rPr>
        <w:t>R</w:t>
      </w:r>
      <w:r>
        <w:rPr>
          <w:shd w:fill="FFFFFF" w:val="clear"/>
        </w:rPr>
        <w:t xml:space="preserve">}, vector de atracción o rechazo) y </w:t>
      </w:r>
      <w:r>
        <w:rPr>
          <w:rStyle w:val="Strong"/>
          <w:shd w:fill="FFFFFF" w:val="clear"/>
        </w:rPr>
        <w:t>B</w:t>
      </w:r>
      <w:r>
        <w:rPr>
          <w:shd w:fill="FFFFFF" w:val="clear"/>
        </w:rPr>
        <w:t xml:space="preserve"> (Densidad bruta modular, |\cdot| ≥ 0, masa y energía total movilizada):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3c. Especificación y Cálculo Canónico de las 18 Densidades Relacionales e Invariantes Socio-Termodinámicos</w:t>
      </w:r>
    </w:p>
    <w:tbl>
      <w:tblPr>
        <w:tblW w:w="6035" w:type="dxa"/>
        <w:jc w:val="start"/>
        <w:tblInd w:w="0" w:type="dxa"/>
        <w:tblLayout w:type="fixed"/>
        <w:tblCellMar>
          <w:top w:w="90" w:type="dxa"/>
          <w:start w:w="105" w:type="dxa"/>
          <w:bottom w:w="90" w:type="dxa"/>
          <w:end w:w="105" w:type="dxa"/>
        </w:tblCellMar>
      </w:tblPr>
      <w:tblGrid>
        <w:gridCol w:w="966"/>
        <w:gridCol w:w="778"/>
        <w:gridCol w:w="943"/>
        <w:gridCol w:w="815"/>
        <w:gridCol w:w="759"/>
        <w:gridCol w:w="1774"/>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7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flujo de iniciativa generada.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2</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3</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actividad cognitiva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2</w:t>
            </w:r>
            <w:r>
              <w:rPr>
                <w:sz w:val="17"/>
              </w:rPr>
              <w:t xml:space="preserve"> | + | </w:t>
            </w:r>
            <w:r>
              <w:rPr>
                <w:rStyle w:val="Emphasis"/>
                <w:sz w:val="17"/>
              </w:rPr>
              <w:t>D</w:t>
            </w:r>
            <w:r>
              <w:rPr>
                <w:position w:val="-1"/>
                <w:sz w:val="17"/>
              </w:rPr>
              <w:t>3</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3</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2</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 </w:t>
            </w:r>
            <w:r>
              <w:rPr>
                <w:rStyle w:val="Emphasis"/>
                <w:sz w:val="17"/>
              </w:rPr>
              <w:t>D</w:t>
            </w:r>
            <w:r>
              <w:rPr>
                <w:rStyle w:val="Emphasis"/>
                <w:position w:val="-1"/>
                <w:sz w:val="17"/>
              </w:rPr>
              <w:t>k</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y el Pentagrama 10D (Figuras 3 y 4)</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tres particiones duales ortogonales independientes o </w:t>
      </w:r>
      <w:r>
        <w:rPr>
          <w:rStyle w:val="Strong"/>
          <w:shd w:fill="FFFFFF" w:val="clear"/>
        </w:rPr>
        <w:t>Prismas</w:t>
      </w:r>
      <w:r>
        <w:rPr>
          <w:shd w:fill="FFFFFF" w:val="clear"/>
        </w:rPr>
        <w:t xml:space="preserve"> (Figura 3): el </w:t>
      </w:r>
      <w:r>
        <w:rPr>
          <w:rStyle w:val="Strong"/>
          <w:shd w:fill="FFFFFF" w:val="clear"/>
        </w:rPr>
        <w:t>Operativo</w:t>
      </w:r>
      <w:r>
        <w:rPr>
          <w:shd w:fill="FFFFFF" w:val="clear"/>
        </w:rPr>
        <w:t xml:space="preserve"> (10D: Dador vs. Receptor), el </w:t>
      </w:r>
      <w:r>
        <w:rPr>
          <w:rStyle w:val="Strong"/>
          <w:shd w:fill="FFFFFF" w:val="clear"/>
        </w:rPr>
        <w:t>Ontológico</w:t>
      </w:r>
      <w:r>
        <w:rPr>
          <w:shd w:fill="FFFFFF" w:val="clear"/>
        </w:rPr>
        <w:t xml:space="preserve"> (14D: Mente vs. Hechos) y el </w:t>
      </w:r>
      <w:r>
        <w:rPr>
          <w:rStyle w:val="Strong"/>
          <w:shd w:fill="FFFFFF" w:val="clear"/>
        </w:rPr>
        <w:t>Dialéctico</w:t>
      </w:r>
      <w:r>
        <w:rPr>
          <w:shd w:fill="FFFFFF" w:val="clear"/>
        </w:rPr>
        <w:t xml:space="preserve"> (18D: Realismo vs. Compromiso).</w:t>
      </w:r>
    </w:p>
    <w:p>
      <w:pPr>
        <w:pStyle w:val="BodyText"/>
        <w:bidi w:val="0"/>
        <w:rPr>
          <w:shd w:fill="FFFFFF" w:val="clear"/>
        </w:rPr>
      </w:pPr>
      <w:r>
        <w:rPr>
          <w:shd w:fill="FFFFFF" w:val="clear"/>
        </w:rPr>
        <w:drawing>
          <wp:inline distT="0" distB="0" distL="0" distR="0">
            <wp:extent cx="720090" cy="29718000"/>
            <wp:effectExtent l="0" t="0" r="0" b="0"/>
            <wp:docPr id="3" name="Imagen3" title="Figura 3: Arquitectura Canónic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3: Arquitectura Canónica del Espacio Relacional 18D y los 3 Prismas Duales"/>
                    <pic:cNvPicPr>
                      <a:picLocks noChangeAspect="1" noChangeArrowheads="1"/>
                    </pic:cNvPicPr>
                  </pic:nvPicPr>
                  <pic:blipFill>
                    <a:blip r:link="rId8"/>
                    <a:stretch>
                      <a:fillRect/>
                    </a:stretch>
                  </pic:blipFill>
                  <pic:spPr bwMode="auto">
                    <a:xfrm>
                      <a:off x="0" y="0"/>
                      <a:ext cx="720090" cy="29718000"/>
                    </a:xfrm>
                    <a:prstGeom prst="rect">
                      <a:avLst/>
                    </a:prstGeom>
                    <a:noFill/>
                  </pic:spPr>
                </pic:pic>
              </a:graphicData>
            </a:graphic>
          </wp:inline>
        </w:drawing>
      </w:r>
      <w:r>
        <w:rPr>
          <w:shd w:fill="FFFFFF" w:val="clear"/>
        </w:rPr>
        <w:t xml:space="preserve">Figura 3. Arquitectura Canónica del Espacio Relacional 18D y los 3 Prismas Duales: Estructuración del tetragrama en 4 densidades elementales (D1–D4), saldos globales invariantes (SDR, BDR) y descomposición en los tres ejes fundamentales: Operativo (10D), Ontológico (14D) y Dialéctico (18D). </w:t>
      </w:r>
    </w:p>
    <w:p>
      <w:pPr>
        <w:pStyle w:val="BodyText"/>
        <w:bidi w:val="0"/>
        <w:rPr/>
      </w:pPr>
      <w:r>
        <w:rPr>
          <w:shd w:fill="FFFFFF" w:val="clear"/>
        </w:rPr>
        <w:t xml:space="preserve">En el plano operativo, el </w:t>
      </w:r>
      <w:r>
        <w:rPr>
          <w:rStyle w:val="Strong"/>
          <w:shd w:fill="FFFFFF" w:val="clear"/>
        </w:rPr>
        <w:t>Pentagrama Socio-Termodinámico</w:t>
      </w:r>
      <w:r>
        <w:rPr>
          <w:shd w:fill="FFFFFF" w:val="clear"/>
        </w:rPr>
        <w:t xml:space="preserve"> (Figura 4) articula las diez densidades canónicas desacoplando la emisión activa (SDA, BDA) del estatus receptivo (SRC, BRC), culminando en los invariantes globales SDR y BDR. La discrepancia analítica entre la energía total movilizada y el flujo neto resultante define formalmente la </w:t>
      </w:r>
      <w:r>
        <w:rPr>
          <w:rStyle w:val="Strong"/>
          <w:shd w:fill="FFFFFF" w:val="clear"/>
        </w:rPr>
        <w:t>Inercia del Desgaste Relacional</w:t>
      </w:r>
      <w:r>
        <w:rPr>
          <w:shd w:fill="FFFFFF" w:val="clear"/>
        </w:rPr>
        <w:t xml:space="preserve"> (I_{\text{desgaste}} = BDR - SDR), cuantificando la energía disipada en fricción y discrepancia estructural antes de que afloren fracturas abiertas en el grupo.</w:t>
      </w:r>
    </w:p>
    <w:p>
      <w:pPr>
        <w:pStyle w:val="BodyText"/>
        <w:bidi w:val="0"/>
        <w:rPr>
          <w:shd w:fill="FFFFFF" w:val="clear"/>
        </w:rPr>
      </w:pPr>
      <w:r>
        <w:rPr>
          <w:shd w:fill="FFFFFF" w:val="clear"/>
        </w:rPr>
        <w:drawing>
          <wp:inline distT="0" distB="0" distL="0" distR="0">
            <wp:extent cx="720090" cy="30003750"/>
            <wp:effectExtent l="0" t="0" r="0" b="0"/>
            <wp:docPr id="4" name="Imagen4" title="Figura 4: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4: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4. Pentagrama Socio-Termodinámico con las 10 densidades canónicas: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constituye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espacio tridimensional continuo definido sobre el volumen cartesiano \mathbf{DA} × \mathbf{RECIBE} × \mathbf{DENSIDAD}, estructurado analíticamente en tres zonas y estratos característicos:</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Estrato inferior:</w:t>
      </w:r>
      <w:r>
        <w:rPr>
          <w:shd w:fill="FFFFFF" w:val="clear"/>
        </w:rPr>
        <w:t xml:space="preserve"> Concentración de tensiones latentes, rechazo mutuo (</w:t>
      </w:r>
      <w:r>
        <w:rPr>
          <w:rStyle w:val="Textooriginal"/>
          <w:shd w:fill="FFFFFF" w:val="clear"/>
        </w:rPr>
        <w:t>[Rr]</w:t>
      </w:r>
      <w:r>
        <w:rPr>
          <w:shd w:fill="FFFFFF" w:val="clear"/>
        </w:rPr>
        <w:t xml:space="preserve">) y desconexión vincular.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Plano medio / neutro:</w:t>
      </w:r>
      <w:r>
        <w:rPr>
          <w:shd w:fill="FFFFFF" w:val="clear"/>
        </w:rPr>
        <w:t xml:space="preserve"> Nivel basal de flotabilidad social correspondiente al umbral de indiferencia (</w:t>
      </w:r>
      <w:r>
        <w:rPr>
          <w:rStyle w:val="Textooriginal"/>
          <w:shd w:fill="FFFFFF" w:val="clear"/>
        </w:rPr>
        <w:t>i¿?! = 41</w:t>
      </w:r>
      <w:r>
        <w:rPr>
          <w:shd w:fill="FFFFFF" w:val="clear"/>
        </w:rPr>
        <w:t xml:space="preserve">). </w:t>
      </w:r>
    </w:p>
    <w:p>
      <w:pPr>
        <w:pStyle w:val="BodyText"/>
        <w:numPr>
          <w:ilvl w:val="0"/>
          <w:numId w:val="13"/>
        </w:numPr>
        <w:tabs>
          <w:tab w:val="clear" w:pos="1134"/>
          <w:tab w:val="left" w:pos="709" w:leader="none"/>
        </w:tabs>
        <w:bidi w:val="0"/>
        <w:ind w:hanging="283" w:start="709"/>
        <w:rPr/>
      </w:pPr>
      <w:r>
        <w:rPr>
          <w:rStyle w:val="Strong"/>
          <w:shd w:fill="FFFFFF" w:val="clear"/>
        </w:rPr>
        <w:t>Estrato superior:</w:t>
      </w:r>
      <w:r>
        <w:rPr>
          <w:shd w:fill="FFFFFF" w:val="clear"/>
        </w:rPr>
        <w:t xml:space="preserve"> Región de alta densidad positiva, cohesión armónica (</w:t>
      </w:r>
      <w:r>
        <w:rPr>
          <w:rStyle w:val="Textooriginal"/>
          <w:shd w:fill="FFFFFF" w:val="clear"/>
        </w:rPr>
        <w:t>&lt;Ee&gt;</w:t>
      </w:r>
      <w:r>
        <w:rPr>
          <w:shd w:fill="FFFFFF" w:val="clear"/>
        </w:rPr>
        <w:t xml:space="preserve">) y liderazgo integrador con baja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14"/>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perceptibles los procesos y las estructuras relacionales resultantes de la investigación. El ojo y el oído humanos están poco preparados para asimilar ristras de números y coeficientes abstractos; en cambio, tienen una enorme capacidad para percibir de forma intuitiva formas, relieves, cambios tonales, distancias relativas, densidades e iluminaciones.</w:t>
      </w:r>
    </w:p>
    <w:p>
      <w:pPr>
        <w:pStyle w:val="BodyText"/>
        <w:bidi w:val="0"/>
        <w:rPr>
          <w:shd w:fill="FFFFFF" w:val="clear"/>
        </w:rPr>
      </w:pPr>
      <w:r>
        <w:rPr>
          <w:shd w:fill="FFFFFF" w:val="clear"/>
        </w:rPr>
        <w:t>La formalización matemática de la Sociometría Ordinal de NEXORD ha avanzado, mediante las herramientas del entorno VISORD, en el desarrollo de representaciones visuales e interactivas que facilitan una comprensión rigurosa de los fenómenos de interacción grupal. Como demuestra el desarrollo científico contemporáneo, la parametrización matemática permite hacer perceptibles dinámicas que escapan a la observación intuitiva directa. Este avance ha sido posible gracias a la cuantificación del orden de preferencia mediante la función inversa al rango.</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5).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(Figura 6).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Sociogramas Continuos Tridimensionales (VISORD 3D/4D):</w:t>
      </w:r>
      <w:r>
        <w:rPr>
          <w:shd w:fill="FFFFFF" w:val="clear"/>
        </w:rPr>
        <w:t xml:space="preserve"> Visualización en el espacio continuo de cuencas de atracción (</w:t>
      </w:r>
      <w:r>
        <w:rPr>
          <w:rStyle w:val="Textooriginal"/>
          <w:shd w:fill="FFFFFF" w:val="clear"/>
        </w:rPr>
        <w:t>&lt;Ee&gt;</w:t>
      </w:r>
      <w:r>
        <w:rPr>
          <w:shd w:fill="FFFFFF" w:val="clear"/>
        </w:rPr>
        <w:t>), zonas intermedias de oposición y filamentos de ruptura o fricción (</w:t>
      </w:r>
      <w:r>
        <w:rPr>
          <w:rStyle w:val="Textooriginal"/>
          <w:shd w:fill="FFFFFF" w:val="clear"/>
        </w:rPr>
        <w:t>[Rr]</w:t>
      </w:r>
      <w:r>
        <w:rPr>
          <w:shd w:fill="FFFFFF" w:val="clear"/>
        </w:rPr>
        <w:t xml:space="preserve">), con navegación temporal diacrónica (Figura 7).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autor. </w:t>
      </w:r>
    </w:p>
    <w:p>
      <w:pPr>
        <w:pStyle w:val="BodyText"/>
        <w:numPr>
          <w:ilvl w:val="0"/>
          <w:numId w:val="15"/>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21431250"/>
            <wp:effectExtent l="0" t="0" r="0" b="0"/>
            <wp:docPr id="5" name="Imagen5" title="Figura 5: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5: Planos Duales en Paralelo (Biplot MESO F1 × F2, AFC ∥ PCA)"/>
                    <pic:cNvPicPr>
                      <a:picLocks noChangeAspect="1" noChangeArrowheads="1"/>
                    </pic:cNvPicPr>
                  </pic:nvPicPr>
                  <pic:blipFill>
                    <a:blip r:link="rId10"/>
                    <a:stretch>
                      <a:fillRect/>
                    </a:stretch>
                  </pic:blipFill>
                  <pic:spPr bwMode="auto">
                    <a:xfrm>
                      <a:off x="0" y="0"/>
                      <a:ext cx="720090" cy="21431250"/>
                    </a:xfrm>
                    <a:prstGeom prst="rect">
                      <a:avLst/>
                    </a:prstGeom>
                    <a:noFill/>
                  </pic:spPr>
                </pic:pic>
              </a:graphicData>
            </a:graphic>
          </wp:inline>
        </w:drawing>
      </w:r>
      <w:r>
        <w:rPr>
          <w:shd w:fill="FFFFFF" w:val="clear"/>
        </w:rPr>
        <w:t xml:space="preserve">Figura 5.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1432500"/>
            <wp:effectExtent l="0" t="0" r="0" b="0"/>
            <wp:docPr id="6" name="Imagen6" title="Figura 6: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6: Ejes verticales factoriales 1D (COR–CTA–CTR)"/>
                    <pic:cNvPicPr>
                      <a:picLocks noChangeAspect="1" noChangeArrowheads="1"/>
                    </pic:cNvPicPr>
                  </pic:nvPicPr>
                  <pic:blipFill>
                    <a:blip r:link="rId11"/>
                    <a:stretch>
                      <a:fillRect/>
                    </a:stretch>
                  </pic:blipFill>
                  <pic:spPr bwMode="auto">
                    <a:xfrm>
                      <a:off x="0" y="0"/>
                      <a:ext cx="720090" cy="31432500"/>
                    </a:xfrm>
                    <a:prstGeom prst="rect">
                      <a:avLst/>
                    </a:prstGeom>
                    <a:noFill/>
                  </pic:spPr>
                </pic:pic>
              </a:graphicData>
            </a:graphic>
          </wp:inline>
        </w:drawing>
      </w:r>
      <w:r>
        <w:rPr>
          <w:shd w:fill="FFFFFF" w:val="clear"/>
        </w:rPr>
        <w:t xml:space="preserve">Figura 6.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7: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7: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7.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se articula sobre cuatro ejes fundamentales:</w:t>
      </w:r>
    </w:p>
    <w:p>
      <w:pPr>
        <w:pStyle w:val="BodyText"/>
        <w:numPr>
          <w:ilvl w:val="0"/>
          <w:numId w:val="16"/>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17"/>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18"/>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19"/>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19"/>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19"/>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20"/>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de forma nativa dos baterías estándar de calibración:</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(en 3 modalidades homogéneas por ítem) que sitúan al actor en su coordenada biográfica, de rol formal, antigüedad o estatus institucional. </w:t>
      </w:r>
    </w:p>
    <w:p>
      <w:pPr>
        <w:pStyle w:val="BodyText"/>
        <w:numPr>
          <w:ilvl w:val="0"/>
          <w:numId w:val="21"/>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medio)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constituye el marco de referencia del Banco Sociométrico (BSOC) para garantizar la comparabilidad retrospectiva e histórica de sociomatrices provenientes de épocas, culturas y contextos organizacionales diversos.</w:t>
      </w:r>
    </w:p>
    <w:p>
      <w:pPr>
        <w:pStyle w:val="BodyText"/>
        <w:bidi w:val="0"/>
        <w:rPr/>
      </w:pPr>
      <w:r>
        <w:rPr>
          <w:shd w:fill="FFFFFF" w:val="clear"/>
        </w:rPr>
        <w:t xml:space="preserve">La batería </w:t>
      </w:r>
      <w:r>
        <w:rPr>
          <w:rStyle w:val="Emphasis"/>
          <w:shd w:fill="FFFFFF" w:val="clear"/>
        </w:rPr>
        <w:t>A</w:t>
      </w:r>
      <w:r>
        <w:rPr>
          <w:position w:val="-2"/>
          <w:sz w:val="16"/>
          <w:shd w:fill="FFFFFF" w:val="clear"/>
        </w:rPr>
        <w:t>16</w:t>
      </w:r>
      <w:r>
        <w:rPr>
          <w:shd w:fill="FFFFFF" w:val="clear"/>
        </w:rPr>
        <w:t xml:space="preserve"> se estructura en cuatro factores canónicos que agrupan los dieciséis adjetivos normativos del sistema:</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Temático (TEMA):</w:t>
      </w:r>
      <w:r>
        <w:rPr>
          <w:shd w:fill="FFFFFF" w:val="clear"/>
        </w:rPr>
        <w:t xml:space="preserve"> </w:t>
      </w:r>
      <w:r>
        <w:rPr>
          <w:rStyle w:val="Emphasis"/>
          <w:shd w:fill="FFFFFF" w:val="clear"/>
        </w:rPr>
        <w:t>claro, coherente, flexible, consensuado</w:t>
      </w:r>
      <w:r>
        <w:rPr>
          <w:shd w:fill="FFFFFF" w:val="clear"/>
        </w:rPr>
        <w:t xml:space="preserve">. </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Funcional (FUNC):</w:t>
      </w:r>
      <w:r>
        <w:rPr>
          <w:shd w:fill="FFFFFF" w:val="clear"/>
        </w:rPr>
        <w:t xml:space="preserve"> </w:t>
      </w:r>
      <w:r>
        <w:rPr>
          <w:rStyle w:val="Emphasis"/>
          <w:shd w:fill="FFFFFF" w:val="clear"/>
        </w:rPr>
        <w:t>productivo, ordenado, activo, ejemplar</w:t>
      </w:r>
      <w:r>
        <w:rPr>
          <w:shd w:fill="FFFFFF" w:val="clear"/>
        </w:rPr>
        <w:t xml:space="preserve">. </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Cognitivo (COGN):</w:t>
      </w:r>
      <w:r>
        <w:rPr>
          <w:shd w:fill="FFFFFF" w:val="clear"/>
        </w:rPr>
        <w:t xml:space="preserve"> </w:t>
      </w:r>
      <w:r>
        <w:rPr>
          <w:rStyle w:val="Emphasis"/>
          <w:shd w:fill="FFFFFF" w:val="clear"/>
        </w:rPr>
        <w:t>abierto, crítico, perceptivo, expresivo</w:t>
      </w:r>
      <w:r>
        <w:rPr>
          <w:shd w:fill="FFFFFF" w:val="clear"/>
        </w:rPr>
        <w:t xml:space="preserve">. </w:t>
      </w:r>
    </w:p>
    <w:p>
      <w:pPr>
        <w:pStyle w:val="BodyText"/>
        <w:numPr>
          <w:ilvl w:val="0"/>
          <w:numId w:val="22"/>
        </w:numPr>
        <w:tabs>
          <w:tab w:val="clear" w:pos="1134"/>
          <w:tab w:val="left" w:pos="709" w:leader="none"/>
        </w:tabs>
        <w:bidi w:val="0"/>
        <w:ind w:hanging="283" w:start="709"/>
        <w:rPr/>
      </w:pPr>
      <w:r>
        <w:rPr>
          <w:rStyle w:val="Strong"/>
          <w:shd w:fill="FFFFFF" w:val="clear"/>
        </w:rPr>
        <w:t>Afectivo (AFEC):</w:t>
      </w:r>
      <w:r>
        <w:rPr>
          <w:shd w:fill="FFFFFF" w:val="clear"/>
        </w:rPr>
        <w:t xml:space="preserve"> </w:t>
      </w:r>
      <w:r>
        <w:rPr>
          <w:rStyle w:val="Emphasis"/>
          <w:shd w:fill="FFFFFF" w:val="clear"/>
        </w:rPr>
        <w:t>amistoso, leal, colaborador, tolerante</w:t>
      </w:r>
      <w:r>
        <w:rPr>
          <w:shd w:fill="FFFFFF" w:val="clear"/>
        </w:rPr>
        <w:t xml:space="preserve">. </w:t>
      </w:r>
    </w:p>
    <w:p>
      <w:pPr>
        <w:pStyle w:val="BodyText"/>
        <w:bidi w:val="0"/>
        <w:rPr>
          <w:shd w:fill="FFFFFF" w:val="clear"/>
        </w:rPr>
      </w:pPr>
      <w:r>
        <w:rPr>
          <w:shd w:fill="FFFFFF" w:val="clear"/>
        </w:rPr>
        <w:t>Por cada adjetivo, la división dicotómica de la valoración del grupo permite detectar, mediante los centroides de densidad de ambos extremos, sensibilidades distintivas en la percepción de la Actividad Grupal, inclusive cruzada con las variables sociodemográficas.</w:t>
      </w:r>
    </w:p>
    <w:p>
      <w:pPr>
        <w:pStyle w:val="BodyText"/>
        <w:bidi w:val="0"/>
        <w:rPr>
          <w:shd w:fill="FFFFFF" w:val="clear"/>
        </w:rPr>
      </w:pPr>
      <w:r>
        <w:rPr>
          <w:shd w:fill="FFFFFF" w:val="clear"/>
        </w:rPr>
        <w:drawing>
          <wp:inline distT="0" distB="0" distL="0" distR="0">
            <wp:extent cx="720090" cy="140970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1409700"/>
                    </a:xfrm>
                    <a:prstGeom prst="rect">
                      <a:avLst/>
                    </a:prstGeom>
                    <a:noFill/>
                  </pic:spPr>
                </pic:pic>
              </a:graphicData>
            </a:graphic>
          </wp:inline>
        </w:drawing>
      </w:r>
      <w:r>
        <w:rPr>
          <w:shd w:fill="FFFFFF" w:val="clear"/>
        </w:rPr>
        <w:t xml:space="preserve">Tabla 4. Cuadro de la batería de 10 variables contextuales (V₁₀, 3 modalidades) y 16 adjetivos de atribución grupal (A₁₆, 4 × 4, escala par 1–8 sin puntuación media).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8) si dos grupos comparten la misma morfología relacional con independencia de las diferencias en sus tamaños muestrales. Aunque el acuerdo entre observadores es un componente apreciable de confiabilidad de los hallazgos de estructuras invariantes,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8: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8: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8.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En los individuos,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Sociometría Dialéctica, Sociometría Sintética y Cognición Triádica</w:t>
      </w:r>
    </w:p>
    <w:p>
      <w:pPr>
        <w:pStyle w:val="Heading3"/>
        <w:bidi w:val="0"/>
        <w:jc w:val="start"/>
        <w:rPr>
          <w:shd w:fill="FFFFFF" w:val="clear"/>
        </w:rPr>
      </w:pPr>
      <w:r>
        <w:rPr>
          <w:shd w:fill="FFFFFF" w:val="clear"/>
        </w:rPr>
        <w:t>6.1. Monitorización Experimental en el Laboratorio Presencial</w:t>
      </w:r>
    </w:p>
    <w:p>
      <w:pPr>
        <w:pStyle w:val="BodyText"/>
        <w:bidi w:val="0"/>
        <w:rPr>
          <w:shd w:fill="FFFFFF" w:val="clear"/>
        </w:rPr>
      </w:pPr>
      <w:r>
        <w:rPr>
          <w:shd w:fill="FFFFFF" w:val="clear"/>
        </w:rPr>
        <w:t>La plataforma está diseñada para la monitorización de investigaciones experimentales complejas en laboratorio presencial: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 La aplicación a un grupo del formato ORBIT como PRE y/o POST en diseños experimentales se revela como una buena estrategia de contrastación en VD y VI.</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23"/>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las densidades del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9).</w:t>
      </w:r>
    </w:p>
    <w:p>
      <w:pPr>
        <w:pStyle w:val="BodyText"/>
        <w:bidi w:val="0"/>
        <w:rPr>
          <w:shd w:fill="FFFFFF" w:val="clear"/>
        </w:rPr>
      </w:pPr>
      <w:r>
        <w:rPr>
          <w:shd w:fill="FFFFFF" w:val="clear"/>
        </w:rPr>
        <w:drawing>
          <wp:inline distT="0" distB="0" distL="0" distR="0">
            <wp:extent cx="720090" cy="13811250"/>
            <wp:effectExtent l="0" t="0" r="0" b="0"/>
            <wp:docPr id="12" name="Imagen12" title="Figura 9: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9: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9.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 xml:space="preserve">El análisis de textos dramáticos y literarios consolidados constituye una fuente no reactiva de primer orden para la modelización psicosocial. Al transponer los guiones y obras a sociomatrices objetivas (p. ej.,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NEXORD analiza dinámicas grupales complejas, puntos de inflexión y crisis de liderazgo en sistemas cerrados sin introducir sesgos de reactividad del observador ni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incorpora a la sociometría de las metapercepciones y expectativas diádicas el nivel de las metapercepciones triádicas. Al preguntar a cada participante sobre las preferencias que cree que expresarán los sujetos que él mismo ha colocado en su primer y último puesto en la lista, se configura un espacio de cognición social triádica articulado por dos sensores fundamentales:</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 xml:space="preserve">Mejor Valorado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24"/>
        </w:numPr>
        <w:tabs>
          <w:tab w:val="clear" w:pos="1134"/>
          <w:tab w:val="left" w:pos="709" w:leader="none"/>
        </w:tabs>
        <w:bidi w:val="0"/>
        <w:ind w:hanging="283" w:start="709"/>
        <w:rPr/>
      </w:pPr>
      <w:r>
        <w:rPr>
          <w:rStyle w:val="Strong"/>
          <w:shd w:fill="FFFFFF" w:val="clear"/>
        </w:rPr>
        <w:t xml:space="preserve">Peor Valorado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algoritmo de simulación sociométrica in silico,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25"/>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algoritmo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de referencia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constituyen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26"/>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27"/>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27"/>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algoritmo de simulación. </w:t>
      </w:r>
    </w:p>
    <w:p>
      <w:pPr>
        <w:pStyle w:val="BodyText"/>
        <w:numPr>
          <w:ilvl w:val="0"/>
          <w:numId w:val="27"/>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27"/>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constituyen, asimismo, el banco de verdad conocida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aislar.</w:t>
      </w:r>
    </w:p>
    <w:p>
      <w:pPr>
        <w:pStyle w:val="Heading3"/>
        <w:bidi w:val="0"/>
        <w:jc w:val="start"/>
        <w:rPr>
          <w:shd w:fill="FFFFFF" w:val="clear"/>
        </w:rPr>
      </w:pPr>
      <w:r>
        <w:rPr>
          <w:shd w:fill="FFFFFF" w:val="clear"/>
        </w:rPr>
        <w:t>6.8. Horizontes de Futuro: Hacia una Sociometría Científica de mayor amplitud y la Física de lo Social a Gran Escala</w:t>
      </w:r>
    </w:p>
    <w:p>
      <w:pPr>
        <w:pStyle w:val="BodyText"/>
        <w:bidi w:val="0"/>
        <w:rPr>
          <w:shd w:fill="FFFFFF" w:val="clear"/>
        </w:rPr>
      </w:pPr>
      <w:r>
        <w:rPr>
          <w:shd w:fill="FFFFFF" w:val="clear"/>
        </w:rPr>
        <w:t>El desarrollo histórico de la sociometría, desde las intuiciones fundacionales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relacionales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Sustrato cognitivo-emocional e intergrupal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28"/>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28"/>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28"/>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de forma inmediata.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de forma heurística</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precisión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Modelado termodinámico del colectivo</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29"/>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30"/>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31"/>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Perspectivas en sistemas complejos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de forma explícita el uso de la sociometría para fines punitivos, expedientes disciplinarios, despidos o listas de descarte. Cualquier procesamiento sobre colectivos reales (categoría REAL) exige la autenticación, tutela y responsabilidad de un Investigador Principal (IP) debidamente acreditado profesional e institucionalmente.</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32"/>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32"/>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32"/>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32"/>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Gestión del riesgo de doble uso y acreditación ética</w:t>
      </w:r>
    </w:p>
    <w:p>
      <w:pPr>
        <w:pStyle w:val="BodyText"/>
        <w:bidi w:val="0"/>
        <w:rPr/>
      </w:pPr>
      <w:r>
        <w:rPr>
          <w:shd w:fill="FFFFFF" w:val="clear"/>
        </w:rPr>
        <w:t>La información sociométrica refleja dinámicas interpersonales de alta sensibilidad y no debe instrumentalizarse para prácticas de exclusión o clasificación discriminatoria. NEXORD adopta salvaguardas de seguridad por diseño (</w:t>
      </w:r>
      <w:r>
        <w:rPr>
          <w:rStyle w:val="Emphasis"/>
          <w:shd w:fill="FFFFFF" w:val="clear"/>
        </w:rPr>
        <w:t>security by design</w:t>
      </w:r>
      <w:r>
        <w:rPr>
          <w:shd w:fill="FFFFFF" w:val="clear"/>
        </w:rPr>
        <w:t>): aunque la formulación metodológica y teórica es de acceso abierto bajo licencia CC BY 4.0, el acceso operativo a la suite de investigación sobre participantes humanos requiere acreditación institucional y el compromiso formal de los investigadores de aplicar los datos con fines formativos, preventivos y no punitivos.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suite computacional, ni sus algoritmos son objeto de patentes restrictivas; el Manifiesto se difunde abiertamente bajo licencia CC BY 4.0, y las salvaguardas éticas buscan regular el acceso operativo al instrumento sobre colectivos reales, no restringir la difusión del conocimiento científico.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33"/>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5326" w:type="dxa"/>
        <w:jc w:val="start"/>
        <w:tblInd w:w="709" w:type="dxa"/>
        <w:shd w:fill="F8FAFC" w:val="clear"/>
        <w:tblLayout w:type="fixed"/>
        <w:tblCellMar>
          <w:top w:w="0" w:type="dxa"/>
          <w:start w:w="0" w:type="dxa"/>
          <w:bottom w:w="0" w:type="dxa"/>
          <w:end w:w="0" w:type="dxa"/>
        </w:tblCellMar>
      </w:tblPr>
      <w:tblGrid>
        <w:gridCol w:w="5326"/>
      </w:tblGrid>
      <w:tr>
        <w:trPr/>
        <w:tc>
          <w:tcPr>
            <w:tcW w:w="532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w:t>
      </w:r>
    </w:p>
    <w:p>
      <w:pPr>
        <w:pStyle w:val="BodyText"/>
        <w:bidi w:val="0"/>
        <w:rPr/>
      </w:pPr>
      <w:r>
        <w:rPr>
          <w:shd w:fill="FFFFFF" w:val="clear"/>
        </w:rPr>
        <w:t>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sin recurrir a recursos pictóricos auxiliares (como variaciones de color o grosor de nodo) que pudieran dificultar la lectura métrica precisa:</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Anclaje Basal Cartesiano:</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5326" w:type="dxa"/>
        <w:jc w:val="start"/>
        <w:tblInd w:w="709" w:type="dxa"/>
        <w:shd w:fill="F8FAFC" w:val="clear"/>
        <w:tblLayout w:type="fixed"/>
        <w:tblCellMar>
          <w:top w:w="0" w:type="dxa"/>
          <w:start w:w="0" w:type="dxa"/>
          <w:bottom w:w="0" w:type="dxa"/>
          <w:end w:w="0" w:type="dxa"/>
        </w:tblCellMar>
      </w:tblPr>
      <w:tblGrid>
        <w:gridCol w:w="5326"/>
      </w:tblGrid>
      <w:tr>
        <w:trPr/>
        <w:tc>
          <w:tcPr>
            <w:tcW w:w="532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35"/>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spacing w:before="0" w:after="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36"/>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37"/>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38"/>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39"/>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40"/>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41"/>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y distancias métricas continuas del espacio relacional.</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42"/>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