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>
        <w:jc w:val="center"/>
      </w:pPr>
      <w:r>
        <w:rPr>
          <w:rFonts w:ascii=".SF NS" w:hAnsi=".SF NS" w:cs=".SF NS"/>
          <w:sz w:val="24"/>
          <w:sz-cs w:val="24"/>
          <w:b/>
          <w:spacing w:val="0"/>
          <w:color w:val="0B0F20"/>
        </w:rPr>
        <w:t xml:space="preserve">ECOSISTEMA OFICIAL NEXORD / VISORD</w:t>
      </w:r>
      <w:r>
        <w:rPr>
          <w:rFonts w:ascii=".SF NS" w:hAnsi=".SF NS" w:cs=".SF NS"/>
          <w:sz w:val="52"/>
          <w:sz-cs w:val="52"/>
          <w:b/>
          <w:spacing w:val="0"/>
          <w:color w:val="0D121F"/>
        </w:rPr>
        <w:t xml:space="preserve"/>
      </w:r>
    </w:p>
    <w:p>
      <w:pPr>
        <w:jc w:val="center"/>
        <w:spacing w:after="200"/>
      </w:pPr>
      <w:r>
        <w:rPr>
          <w:rFonts w:ascii=".SF NS" w:hAnsi=".SF NS" w:cs=".SF NS"/>
          <w:sz w:val="52"/>
          <w:sz-cs w:val="52"/>
          <w:b/>
          <w:spacing w:val="0"/>
          <w:color w:val="0D121F"/>
        </w:rPr>
        <w:t xml:space="preserve">Catálogo Maestro Encadenado de Tablas y Figuras</w:t>
      </w:r>
      <w:r>
        <w:rPr>
          <w:rFonts w:ascii=".SF NS" w:hAnsi=".SF NS" w:cs=".SF NS"/>
          <w:sz w:val="52"/>
          <w:sz-cs w:val="52"/>
          <w:b/>
          <w:spacing w:val="0"/>
          <w:color w:val="0D121F"/>
        </w:rPr>
        <w:t xml:space="preserve"/>
      </w:r>
    </w:p>
    <w:p>
      <w:pPr>
        <w:jc w:val="center"/>
      </w:pPr>
      <w:r>
        <w:rPr>
          <w:rFonts w:ascii=".SF NS" w:hAnsi=".SF NS" w:cs=".SF NS"/>
          <w:sz w:val="30"/>
          <w:sz-cs w:val="30"/>
          <w:spacing w:val="0"/>
          <w:color w:val="374356"/>
        </w:rPr>
        <w:t xml:space="preserve">Colección Exhaustiva de Entregables Gráficos y Tabulares del Manifiesto Científico (v9.0)</w:t>
      </w:r>
      <w:r>
        <w:rPr>
          <w:rFonts w:ascii=".SF NS" w:hAnsi=".SF NS" w:cs=".SF NS"/>
          <w:sz w:val="30"/>
          <w:sz-cs w:val="30"/>
          <w:spacing w:val="0"/>
          <w:color w:val="374356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Autoría: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Dr. José Manuel Cornejo Álvarez (Banco Sociométrico / Plataforma NEXORD)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Concept DOI: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10.5281/zenodo.18926396 · </w:t>
      </w: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DOI de Edición: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10.5281/zenodo.18941691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Total de Elementos Encadenados: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15 láminas de alta resolución (300 DPI)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6"/>
          <w:sz-cs w:val="26"/>
          <w:b/>
          <w:spacing w:val="0"/>
          <w:color w:val="273143"/>
        </w:rPr>
        <w:t xml:space="preserve">Licencia:</w:t>
      </w:r>
      <w:r>
        <w:rPr>
          <w:rFonts w:ascii="Helvetica Neue" w:hAnsi="Helvetica Neue" w:cs="Helvetica Neue"/>
          <w:sz w:val="26"/>
          <w:sz-cs w:val="26"/>
          <w:spacing w:val="0"/>
          <w:color w:val="273143"/>
        </w:rPr>
        <w:t xml:space="preserve"> Creative Commons Atribución 4.0 Internacional (CC BY 4.0)</w:t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CABECERA INSTITUCIONAL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Cabecera del Manifiesto / Identidad de Marca Maestra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Plataforma Institucional NEXORD &amp; Banco Sociométrico (BSOC)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Marca Maestra NEXORD (Nexo y Orden). Logotipo institucional oficial de la Plataforma de Sociometría Ordinal Computacional y del Banco Sociométrico (BSOC).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Identificador visual inviolable presente en toda la documentación, informes clínicos y entornos interactivos VISORD.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FIGURAS 1 Y 2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1.1: Superación del Límite Clásico y la Ontología del Vínculo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Figuras 1 y 2. Díptico Cartográfico Fundacional de la Psicología Social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Figuras 1 y 2. Díptico Cartográfico Fundacional de la Psicología Social — Izquierda (Fig. 1): Carte de la Spontanéité et du Télé de Jacob L. Moreno (1934). Derecha (Fig. 2): Carte du Champ Dynamique &amp; de l'Espace Vital de Kurt Lewin (1936–1951), ambas con orla conmemorativa institucional NEXORD.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Homenaje expreso en la tradición de la Carte du Tendre de Mademoiselle de Scudéry (1654), base del Protocolo Clélie de custodia ética de datos sensibles.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CUADRO METODOLÓGICO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2.1: Orden sin empates y Dualidad Matricial A(i, k)=j vs. B(i, j)=k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Ingestión Comparativa: Sociomatriz Moreno Tradicional vs Formato ORBIT (N = 6)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Estructura comparativa de entrada de datos: arriba, cuestionario clásico de Moreno restringido a elecciones/rechazos discretos; abajo, la Sociomatriz ORBIT con ordenación preferencial exhaustiva sin empates que satisface invariablemente la ley de conservación de la suma ordinal.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La Sociomatriz ORBIT A(i, k)=j y su dual distributiva B(i, j)=k preservan la totalidad de la información vincular sin truncamientos arbitrarios.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ESQUEMA CONCEPTUAL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2.1 y Sección 4.2: El Tetragrama Diádico y la Retícula Q81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Estructura del Tetragrama Diádico SMIb / SMIa y Micro-Interacción (i, j)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Descomposición formal de las 4 posiciones del tetragrama en la celda (i, j): A1 = p_DA (expectativa del emisor), A2 = DA (preferencia efectiva emitida), A3 = RECIBE (preferencia efectiva recibida), A4 = p_RECIBE (expectativa presumida en el partner).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Canón analítico inviolable del cálculo relacional. Permite clasificar cada vínculo en una de las 81 figuras diádicas elementales (Q81).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3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4.4.2: Los 3 Prismas Duales y el Pentagrama 10D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3. Arquitectura del Espacio Relacional 18D y los 3 Prismas Duales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3. Arquitectura del Espacio Relacional 18D y los 3 Prismas Duales: Estructuración del tetragrama en 4 densidades elementales (D1–D4), saldos globales invariantes (SDR, BDR, I_desgaste) y descomposición en los tres ejes fundamentales: Operativo (10D), Ontológico (14D) y Dialéctico (18D).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Gráfico canónico de alta precisión actualizado en paleta crema editorial (#FDFBF7), verificando el cálculo exacto de cada balance sin confusión con SDA/SRC.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GRÁFICA COMPUESTA 18D (EDICIÓN IMPRESA / CREMA)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4.4.1 y 4.4.2: Las 18 Densidades Relacionales y Desniveles de Tensión (Δ)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Gráfica Compuesta 18D. Espectrograma Panorámico de la Energía Vincular (B12 S12 · B14 S14 ...)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Espectrograma Panorámico 18D en Ordenación Canónica Nº 1: B12 S12 (DA) · B14 S14 (PA) · B13 S13 (XA) · [D1 D2 D3 D4 (TETRA)] · S24 B24 (XR) · S23 B23 (PR) · S34 B34 (RC) · SDR BDR. La franja sombreada entre cada masa bruta (B) y su saldo relativo (S) cuantifica el desnivel de fricción térmica (Δ = B − S ≡ Φ).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Proyección panorámica simultánea de las 18 dimensiones vinculares en un único continuo, integrando el cálculo de fricción térmica disipativa conforme a la Doctrina Canónica Oficial (Edición Crema Editorial).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GRÁFICA COMPUESTA 18D (EDICIÓN VISORD WEB / DARK NEON)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4.4.1 y 4.4.2: Las 18 Densidades Relacionales y Desniveles de Tensión (Δ)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Gráfica Compuesta 18D. Espectrograma Panorámico en Modo Oscuro (Pantalla 2d)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Espectrograma Panorámico 18D en Modo Oscuro Institucional (#0B132B / Neón): Idéntica proyección física de alta resolución desplegada en la pantalla interactiva 2d de la Plataforma VISORD.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Visualización de alto contraste para proyección en pantalla, auditorías interactivas y diagnóstico socio-termodinámico en tiempo real.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4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4.4.2: Los 3 Prismas Duales y el Pentagrama 10D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4. Pentagrama Socio-Termodinámico (10D)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4. Pentagrama Socio-Termodinámico con las 10 densidades principales: desacoplamiento emisión/recepción y transición al continuo termodinámico; la brecha I_desgaste = BDR − SDR cuantifica la energía disipada en fricción.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Permite evaluar el balance metabólico del grupo: si el colectivo disipa energía en rozamiento estéril o si la canaliza productivamente hacia la tarea común.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5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4.6: Dualidad Factorial Baricéntrica: AFC ∥ PCA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5. Planos Factoriales Duales en Paralelo (Biplot MESO F1 × F2, AFC ∥ PCA)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5. PLANOS DUALES EN PARALELO (Biplot MESO F1 × F2, espacio dual AFC ∥ PCA): el vector diádico orienta la flecha desde el polo emisor (DA) hacia el receptor (RC), con baricentro en el origen.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Verificación gráfica del Teorema Baricéntrico de NEXORD: los actores emergen como dipolos cinemáticos cuyo centroide de masa equilibra matemáticamente la emisión y la recepción.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6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4.6 y Anexo II: Métricas Factoriales Slender y Algoritmo DIMO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6. Ejes Verticales Factoriales 1D (COR–CTA–CTR) y Algoritmo DIMO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6. Ejes verticales factoriales 1D (Ejes 1 y 2, matriz SDR): calidad métrica bilateral (COR a la izquierda, CTR a la derecha) y resolución de saturación bidimensional mediante proyección axonométrica 6D.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Resuelve visualmente hasta 6 factores jerarquizados mediante el algoritmo DIMO de tracción por masa de contribución absoluta (CTA).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7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4.1 y Sección 4.5: El Paradigma de VISORD Acuario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7. Navegación 3D Interactiva en VISORD Engine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7. VISORD_demo 3D: fases en la formación interactiva de grupos y resultados termodinámicos; volumen continuo DA × RECIBE × DENSIDAD y estratos de flotabilidad social.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Modelado hidrostático continuo en tres estratos: inferior (tensiones y rechazo), medio (flotabilidad neutra) y superior (cohesión armónica y liderazgo).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TABLA 4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5.2: Variables Complementarias e Ilustrativas: Baterías V10 y A16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Tabla 4. Batería Canónica de Variables Complementarias (V10) y Actividad Grupal (A16)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Tabla 4. Cuadro de la batería de 10 variables contextuales (V₁₀, 3 modalidades) y 16 adjetivos normativos agrupados en 4 factores: TEMA, FUNC, COGN y AFEC.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Proyectadas como variables suplementarias en los planos factoriales para enriquecer la lectura clínica sin perturbar la métrica relacional pura.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TABLA 5 / ANEXO III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5.3 y Anexo III: Catálogo de los 10 Dominios Ecosistémicos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Tabla 5 / Tabla Anexo III. Catálogo de los 10 Dominios Ecosistémicos de Calibración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Tabla 5. Los 10 dominios ecosistémicos de aplicación con parametrización estructural (inercia relacional α y tasa de decaimiento γ): Educativo, Familiar, Deportivo, Comunitario, Misiones Críticas, Terapéutico, Laboral, Institucional, Militar y Penitenciario.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Permite calibrar la función potencial W(r) según el grado de institucionalización y permeabilidad vincular de cada contexto.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8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6.1 y Sección 6.2: Diseño Multidimensional G × T × C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8. Plano Factorial Comparativo Intergrupal (G1 vs G2) y Structrogramas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8. Plano factorial comparativo intergrupal (G1 vs G2) y structrogramas diacrónicos para la detección de polarización de facciones y trayectorias grupales.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Compara simultáneamente dos colectivos en un espacio métrico común y sigue la evolución diacrónica de los roles interpersonales.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TABLA 6 / ANEXO IV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6.2 y Anexo IV: Interdistancias de Rango y Diagonal de Isometría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Tabla 6 / Tabla Anexo IV. Matriz Numérica de Interdistancias Euclídeas de Rangos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Tabla 6. Matriz numérica de interdistancias euclídeas de rangos (d_DA, d_RC, Δ = d_DA − d_RC) sobre el corpus G2T1C1, evidenciando asimetría de rol y balance emisor-receptor.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Prueba factual de la asimetría relacional: la distancia de elección raramente coincide con la de recepción, alejando a los sujetos de la diagonal de isometría.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FIGURA 9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6.5: Sociometría de Grandes Colectivos (N &gt; 25)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Figura 9. Campo Continuo de Interacción y Modelo del Iceberg (N = 50)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Figura 9. Campo continuo de interacción y modelo del iceberg en un colectivo de N = 50 sujetos: proyección macroscópica de plasma relacional, isolíneas de atracción y detección del ostracismo estructural.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Demuestra la escalabilidad del método ordinal a grandes colectivos sin pérdida de resolución ni colapso gráfico.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/>
      <w:r>
        <w:rPr>
          <w:rFonts w:ascii=".SF NS" w:hAnsi=".SF NS" w:cs=".SF NS"/>
          <w:sz w:val="24"/>
          <w:sz-cs w:val="24"/>
          <w:b/>
          <w:spacing w:val="0"/>
          <w:color w:val="13645B"/>
        </w:rPr>
        <w:t xml:space="preserve">TABLA ANEXO I</w:t>
      </w:r>
    </w:p>
    <w:p>
      <w:pPr/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>Sección 8.1: Anexo I: Matrices Duales (SMIb y SMIa, Retícula Q81)</w:t>
      </w:r>
      <w:r>
        <w:rPr>
          <w:rFonts w:ascii=".SF NS" w:hAnsi=".SF NS" w:cs=".SF NS"/>
          <w:sz w:val="26"/>
          <w:sz-cs w:val="26"/>
          <w:b/>
          <w:spacing w:val="0"/>
          <w:color w:val="526078"/>
        </w:rPr>
        <w:t xml:space="preserve"/>
      </w:r>
    </w:p>
    <w:p>
      <w:pPr/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>Tabla Anexo I. Matriz Estructural Q81 y Antidiagonales de Valencia</w:t>
      </w:r>
      <w:r>
        <w:rPr>
          <w:rFonts w:ascii="Helvetica Neue" w:hAnsi="Helvetica Neue" w:cs="Helvetica Neue"/>
          <w:sz w:val="40"/>
          <w:sz-cs w:val="40"/>
          <w:b/>
          <w:spacing w:val="0"/>
          <w:color w:val="171E2D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  <w:r>
        <w:rPr>
          <w:rFonts w:ascii="Helvetica Neue" w:hAnsi="Helvetica Neue" w:cs="Helvetica Neue"/>
          <w:sz w:val="24"/>
          <w:sz-cs w:val="24"/>
          <w:spacing w:val="0"/>
          <w:color w:val="0D121F"/>
        </w:rPr>
        <w:t xml:space="preserve"/>
      </w:r>
    </w:p>
    <w:p>
      <w:pPr>
        <w:spacing w:after="160"/>
      </w:pPr>
      <w:r>
        <w:rPr>
          <w:rFonts w:ascii="Helvetica Neue" w:hAnsi="Helvetica Neue" w:cs="Helvetica Neue"/>
          <w:sz w:val="27"/>
          <w:sz-cs w:val="27"/>
          <w:b/>
          <w:i/>
          <w:spacing w:val="0"/>
          <w:color w:val="64270E"/>
        </w:rPr>
        <w:t xml:space="preserve">Leyenda oficial: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> Tabla Anexo I. Matriz estructural Q81 con las 81 figuras relacionales básicas ordenadas por antidiagonales de valencia creciente.</w:t>
      </w:r>
      <w:r>
        <w:rPr>
          <w:rFonts w:ascii="Helvetica Neue" w:hAnsi="Helvetica Neue" w:cs="Helvetica Neue"/>
          <w:sz w:val="27"/>
          <w:sz-cs w:val="27"/>
          <w:i/>
          <w:spacing w:val="0"/>
          <w:color w:val="64270E"/>
        </w:rPr>
        <w:t xml:space="preserve"/>
      </w:r>
    </w:p>
    <w:p>
      <w:pPr/>
      <w:r>
        <w:rPr>
          <w:rFonts w:ascii="Helvetica Neue" w:hAnsi="Helvetica Neue" w:cs="Helvetica Neue"/>
          <w:sz w:val="25"/>
          <w:sz-cs w:val="25"/>
          <w:b/>
          <w:spacing w:val="0"/>
          <w:color w:val="351304"/>
        </w:rPr>
        <w:t xml:space="preserve">Función metodológica: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> Retícula exhaustiva y biyectiva que clasifica la totalidad de los estados diádicos posibles del intercambio interpersonal.</w:t>
      </w:r>
      <w:r>
        <w:rPr>
          <w:rFonts w:ascii="Helvetica Neue" w:hAnsi="Helvetica Neue" w:cs="Helvetica Neue"/>
          <w:sz w:val="25"/>
          <w:sz-cs w:val="25"/>
          <w:spacing w:val="0"/>
          <w:color w:val="351304"/>
        </w:rPr>
        <w:t xml:space="preserve"/>
      </w:r>
    </w:p>
    <w:p>
      <w:pPr>
        <w:jc w:val="center"/>
      </w:pPr>
      <w:r>
        <w:rPr>
          <w:rFonts w:ascii="Helvetica Neue" w:hAnsi="Helvetica Neue" w:cs="Helvetica Neue"/>
          <w:sz w:val="24"/>
          <w:sz-cs w:val="24"/>
          <w:spacing w:val="0"/>
          <w:color w:val="8291A9"/>
        </w:rPr>
        <w:t xml:space="preserve">(C) 2026 Dr. José Manuel Cornejo Álvarez · Plataforma NEXORD · Banco Sociométrico (BSOC). Todos los derechos reservados.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