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1BE6EB" w14:textId="28AC377D" w:rsidR="003A4316" w:rsidRDefault="003A4316" w:rsidP="003A4316">
      <w:pPr>
        <w:jc w:val="center"/>
        <w:rPr>
          <w:lang w:val="en-US"/>
        </w:rPr>
      </w:pPr>
      <w:r w:rsidRPr="003A4316">
        <w:rPr>
          <w:lang w:val="en-US"/>
        </w:rPr>
        <w:t>Title: APS frame, performances, repertories</w:t>
      </w:r>
      <w:r>
        <w:rPr>
          <w:lang w:val="en-US"/>
        </w:rPr>
        <w:t xml:space="preserve"> analysis</w:t>
      </w:r>
    </w:p>
    <w:p w14:paraId="5376BE9D" w14:textId="77777777" w:rsidR="003A4316" w:rsidRDefault="003A4316" w:rsidP="003A4316">
      <w:pPr>
        <w:jc w:val="center"/>
        <w:rPr>
          <w:lang w:val="en-US"/>
        </w:rPr>
      </w:pPr>
    </w:p>
    <w:p w14:paraId="246EAFE3" w14:textId="455E4E03" w:rsidR="003A4316" w:rsidRDefault="003A4316" w:rsidP="003A4316">
      <w:pPr>
        <w:rPr>
          <w:lang w:val="en-US"/>
        </w:rPr>
      </w:pPr>
      <w:r>
        <w:rPr>
          <w:lang w:val="en-US"/>
        </w:rPr>
        <w:t>Introduction</w:t>
      </w:r>
    </w:p>
    <w:p w14:paraId="3247469D" w14:textId="77777777" w:rsidR="003A4316" w:rsidRDefault="003A4316" w:rsidP="003A4316">
      <w:pPr>
        <w:rPr>
          <w:lang w:val="en-US"/>
        </w:rPr>
      </w:pPr>
    </w:p>
    <w:p w14:paraId="30D8F295" w14:textId="20BA74C9" w:rsidR="003A4316" w:rsidRDefault="003A4316" w:rsidP="003A4316">
      <w:pPr>
        <w:rPr>
          <w:lang w:val="en-US"/>
        </w:rPr>
      </w:pPr>
      <w:r>
        <w:rPr>
          <w:lang w:val="en-US"/>
        </w:rPr>
        <w:t>Theory framework</w:t>
      </w:r>
    </w:p>
    <w:p w14:paraId="65021623" w14:textId="6E3D6199" w:rsidR="003A4316" w:rsidRDefault="003A4316" w:rsidP="003A4316">
      <w:pPr>
        <w:rPr>
          <w:lang w:val="en-US"/>
        </w:rPr>
      </w:pPr>
      <w:r>
        <w:rPr>
          <w:lang w:val="en-US"/>
        </w:rPr>
        <w:t>The influence of Erving Goffman over the historical political sociology of Charles Tilly is much clear in the translation of the concept of performance to the political contention.</w:t>
      </w:r>
      <w:r w:rsidR="00CB3FB8">
        <w:rPr>
          <w:lang w:val="en-US"/>
        </w:rPr>
        <w:t xml:space="preserve"> But can be also in the </w:t>
      </w:r>
      <w:r w:rsidR="00F66682">
        <w:rPr>
          <w:lang w:val="en-US"/>
        </w:rPr>
        <w:t>way</w:t>
      </w:r>
      <w:r w:rsidR="00CB3FB8">
        <w:rPr>
          <w:lang w:val="en-US"/>
        </w:rPr>
        <w:t xml:space="preserve"> Till</w:t>
      </w:r>
      <w:r w:rsidR="00F66682">
        <w:rPr>
          <w:lang w:val="en-US"/>
        </w:rPr>
        <w:t>y emphasized the necessity to offer attention to the interplay between cognitive processes and social transactions.</w:t>
      </w:r>
    </w:p>
    <w:p w14:paraId="70B8E88C" w14:textId="04581C7E" w:rsidR="00F66682" w:rsidRDefault="00F66682" w:rsidP="003A4316">
      <w:pPr>
        <w:rPr>
          <w:lang w:val="en-US"/>
        </w:rPr>
      </w:pPr>
      <w:r>
        <w:rPr>
          <w:lang w:val="en-US"/>
        </w:rPr>
        <w:t xml:space="preserve">By the following approach to the American Palestinian Protests (APP) as a concrete contentious interaction, I will follow the advancements in the literature related to the application of primary frame analysis  made by </w:t>
      </w:r>
      <w:r>
        <w:rPr>
          <w:lang w:val="en-US"/>
        </w:rPr>
        <w:fldChar w:fldCharType="begin"/>
      </w:r>
      <w:r>
        <w:rPr>
          <w:lang w:val="en-US"/>
        </w:rPr>
        <w:instrText xml:space="preserve"> ADDIN ZOTERO_ITEM CSL_CITATION {"citationID":"U5E20MZe","properties":{"formattedCitation":"(Johnston and Alimi 2012)","plainCitation":"(Johnston and Alimi 2012)","noteIndex":0},"citationItems":[{"id":5174,"uris":["http://zotero.org/users/4081719/items/7HWX9MTB"],"itemData":{"id":5174,"type":"article-journal","container-title":"Political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Y."}],"issued":{"date-parts":[["2012",10]]},"citation-key":"johnstonPrimaryFrameworksKeying2012"}}],"schema":"https://github.com/citation-style-language/schema/raw/master/csl-citation.json"} </w:instrText>
      </w:r>
      <w:r>
        <w:rPr>
          <w:lang w:val="en-US"/>
        </w:rPr>
        <w:fldChar w:fldCharType="separate"/>
      </w:r>
      <w:r w:rsidRPr="00F66682">
        <w:rPr>
          <w:rFonts w:ascii="Aptos" w:hAnsi="Aptos"/>
          <w:lang w:val="en-US"/>
        </w:rPr>
        <w:t xml:space="preserve">Johnston and Alimi </w:t>
      </w:r>
      <w:r>
        <w:rPr>
          <w:rFonts w:ascii="Aptos" w:hAnsi="Aptos"/>
          <w:lang w:val="en-US"/>
        </w:rPr>
        <w:t>(</w:t>
      </w:r>
      <w:r w:rsidRPr="00F66682">
        <w:rPr>
          <w:rFonts w:ascii="Aptos" w:hAnsi="Aptos"/>
          <w:lang w:val="en-US"/>
        </w:rPr>
        <w:t>2012)</w:t>
      </w:r>
      <w:r>
        <w:rPr>
          <w:lang w:val="en-US"/>
        </w:rPr>
        <w:fldChar w:fldCharType="end"/>
      </w:r>
      <w:r>
        <w:rPr>
          <w:lang w:val="en-US"/>
        </w:rPr>
        <w:t xml:space="preserve"> using the triplet Subject-Verb-Object to explain the dislocation of the performances of struggle analyzing the historical changes and development of the elements of this triplet, as </w:t>
      </w:r>
      <w:r w:rsidR="00CE1A7F">
        <w:rPr>
          <w:lang w:val="en-US"/>
        </w:rPr>
        <w:t>elements</w:t>
      </w:r>
      <w:r>
        <w:rPr>
          <w:lang w:val="en-US"/>
        </w:rPr>
        <w:t xml:space="preserve"> of the </w:t>
      </w:r>
      <w:r w:rsidR="00CE1A7F">
        <w:rPr>
          <w:lang w:val="en-US"/>
        </w:rPr>
        <w:t xml:space="preserve">frame configuring the organization of the experience, which governs the definition of the sense of realness of the structured individual experience of the events of social life </w:t>
      </w:r>
      <w:r w:rsidR="00CE1A7F">
        <w:rPr>
          <w:lang w:val="en-US"/>
        </w:rPr>
        <w:t>(Goffman 1976, 10-11</w:t>
      </w:r>
      <w:r w:rsidR="00CE1A7F">
        <w:rPr>
          <w:lang w:val="en-US"/>
        </w:rPr>
        <w:t xml:space="preserve">, 13), in this case the performances executed in the APS, in contrast with the development of the triplets historically developed in the biography of the Actor-Performance-Object triplet. In the course of this identification of what I recognize as a dislocation of the experience of the APS in relation with the </w:t>
      </w:r>
      <w:r w:rsidR="002B4064">
        <w:rPr>
          <w:lang w:val="en-US"/>
        </w:rPr>
        <w:t>frame in which the triplet of the Palestinian-Israel conflict was developed internationally, to not speak about the Islamic struggles and international conflicts completely embedded in the geopolitical biography of the collective identities which have meaning and real political effects, or have aims which can be real in their consequences.</w:t>
      </w:r>
    </w:p>
    <w:p w14:paraId="66E75FA5" w14:textId="718BD11B" w:rsidR="003A4316" w:rsidRDefault="002B4064" w:rsidP="003A4316">
      <w:pPr>
        <w:rPr>
          <w:lang w:val="en-US"/>
        </w:rPr>
      </w:pPr>
      <w:r>
        <w:rPr>
          <w:lang w:val="en-US"/>
        </w:rPr>
        <w:t xml:space="preserve">For the recognition of this dislocation certain deviant act as the martyrization of </w:t>
      </w:r>
      <w:r w:rsidR="00E44FD1">
        <w:rPr>
          <w:lang w:val="en-US"/>
        </w:rPr>
        <w:t xml:space="preserve">Ebrahim </w:t>
      </w:r>
      <w:r>
        <w:rPr>
          <w:lang w:val="en-US"/>
        </w:rPr>
        <w:t xml:space="preserve">Raisi, the Iranian President unofficially murdered in a helicopter </w:t>
      </w:r>
      <w:r w:rsidR="00E44FD1">
        <w:rPr>
          <w:lang w:val="en-US"/>
        </w:rPr>
        <w:t>incident on May 19</w:t>
      </w:r>
      <w:r w:rsidR="00E44FD1" w:rsidRPr="00E44FD1">
        <w:rPr>
          <w:vertAlign w:val="superscript"/>
          <w:lang w:val="en-US"/>
        </w:rPr>
        <w:t>th</w:t>
      </w:r>
      <w:r w:rsidR="00E44FD1">
        <w:rPr>
          <w:lang w:val="en-US"/>
        </w:rPr>
        <w:t>, 2024, was necessary to “undermine the intelligibility of everything else we had thought was going around us, including all next acts, thus generating diffuse disorder” (Goffman 1976, 5).</w:t>
      </w:r>
      <w:r>
        <w:rPr>
          <w:lang w:val="en-US"/>
        </w:rPr>
        <w:t xml:space="preserve"> </w:t>
      </w:r>
    </w:p>
    <w:p w14:paraId="09B7A519" w14:textId="10B81310" w:rsidR="003A4316" w:rsidRDefault="003A4316" w:rsidP="003A4316">
      <w:pPr>
        <w:rPr>
          <w:lang w:val="en-US"/>
        </w:rPr>
      </w:pPr>
      <w:r>
        <w:rPr>
          <w:lang w:val="en-US"/>
        </w:rPr>
        <w:t xml:space="preserve">Definition of performance by Goffman: “A performance, […] is that arrangement which transforms an individual into a stage performer, the latter, in turn, being an object that can be looked at in the round and at length without offense, and looked to for engaging behavior, by persons in an “audience”  role </w:t>
      </w:r>
      <w:r w:rsidR="00A7258F">
        <w:rPr>
          <w:lang w:val="en-US"/>
        </w:rPr>
        <w:fldChar w:fldCharType="begin"/>
      </w:r>
      <w:r w:rsidR="00A7258F">
        <w:rPr>
          <w:lang w:val="en-US"/>
        </w:rPr>
        <w:instrText xml:space="preserve"> ADDIN ZOTERO_ITEM CSL_CITATION {"citationID":"zGYtYiQO","properties":{"formattedCitation":"(Goffman 1976, 125)","plainCitation":"(Goffman 1976, 125)","noteIndex":0},"citationItems":[{"id":10717,"uris":["http://zotero.org/users/4081719/items/R89C6Z79"],"itemData":{"id":10717,"type":"book","event-place":"Cambridge,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analysis","author":[{"family":"Goffman","given":"Erving"}],"issued":{"date-parts":[["1976"]]},"citation-key":"goffmanFrameAnalysisEssay1976"},"locator":"125","label":"page"}],"schema":"https://github.com/citation-style-language/schema/raw/master/csl-citation.json"} </w:instrText>
      </w:r>
      <w:r w:rsidR="00A7258F">
        <w:rPr>
          <w:lang w:val="en-US"/>
        </w:rPr>
        <w:fldChar w:fldCharType="separate"/>
      </w:r>
      <w:r w:rsidR="00A7258F" w:rsidRPr="00A7258F">
        <w:rPr>
          <w:rFonts w:ascii="Aptos" w:hAnsi="Aptos"/>
          <w:lang w:val="en-US"/>
        </w:rPr>
        <w:t>(Goffman 1976, 125)</w:t>
      </w:r>
      <w:r w:rsidR="00A7258F">
        <w:rPr>
          <w:lang w:val="en-US"/>
        </w:rPr>
        <w:fldChar w:fldCharType="end"/>
      </w:r>
      <w:r w:rsidR="00A7258F">
        <w:rPr>
          <w:lang w:val="en-US"/>
        </w:rPr>
        <w:t>.</w:t>
      </w:r>
    </w:p>
    <w:p w14:paraId="15AB8E65" w14:textId="50E0208F" w:rsidR="00E44FD1" w:rsidRPr="00E44FD1" w:rsidRDefault="00E44FD1" w:rsidP="00E44FD1">
      <w:pPr>
        <w:rPr>
          <w:lang w:val="en-US"/>
        </w:rPr>
      </w:pPr>
      <w:r w:rsidRPr="00E44FD1">
        <w:rPr>
          <w:lang w:val="en-US"/>
        </w:rPr>
        <w:t>The interactional sociology of Erving Goffman developed by the historical political sociologist Charles Tilly sediment an ultimate theoretical framework for the study of historical transitions by disruption of the systems of existent repertories of struggle.</w:t>
      </w:r>
    </w:p>
    <w:p w14:paraId="71826CEA" w14:textId="1667EA79" w:rsidR="00E44FD1" w:rsidRDefault="00E44FD1" w:rsidP="00E44FD1">
      <w:pPr>
        <w:rPr>
          <w:lang w:val="en-US"/>
        </w:rPr>
      </w:pPr>
      <w:r w:rsidRPr="00E44FD1">
        <w:rPr>
          <w:lang w:val="en-US"/>
        </w:rPr>
        <w:t xml:space="preserve">During the current breakdown of the international state system, the crisis in Gaza and the genocide of Palestina has been </w:t>
      </w:r>
      <w:r w:rsidR="00525263">
        <w:rPr>
          <w:lang w:val="en-US"/>
        </w:rPr>
        <w:t>framed highly influenced by social media infrastructure (Instagram, Twitter and Signal)</w:t>
      </w:r>
      <w:r w:rsidRPr="00E44FD1">
        <w:rPr>
          <w:lang w:val="en-US"/>
        </w:rPr>
        <w:t xml:space="preserve"> </w:t>
      </w:r>
      <w:r w:rsidR="00525263">
        <w:rPr>
          <w:lang w:val="en-US"/>
        </w:rPr>
        <w:t>as a</w:t>
      </w:r>
      <w:r w:rsidRPr="00E44FD1">
        <w:rPr>
          <w:lang w:val="en-US"/>
        </w:rPr>
        <w:t xml:space="preserve"> "transnational" field </w:t>
      </w:r>
      <w:r w:rsidR="00525263">
        <w:rPr>
          <w:lang w:val="en-US"/>
        </w:rPr>
        <w:t xml:space="preserve">of contention, at the point to declare a global </w:t>
      </w:r>
      <w:r w:rsidR="00D034C6">
        <w:rPr>
          <w:lang w:val="en-US"/>
        </w:rPr>
        <w:t>student’s</w:t>
      </w:r>
      <w:r w:rsidR="00525263">
        <w:rPr>
          <w:lang w:val="en-US"/>
        </w:rPr>
        <w:t xml:space="preserve"> movement, or the most powerful student movement in American history in comparison with</w:t>
      </w:r>
      <w:r w:rsidR="00D034C6">
        <w:rPr>
          <w:lang w:val="en-US"/>
        </w:rPr>
        <w:t xml:space="preserve"> the</w:t>
      </w:r>
      <w:r w:rsidR="00525263">
        <w:rPr>
          <w:lang w:val="en-US"/>
        </w:rPr>
        <w:t xml:space="preserve"> Vietnam anti-war </w:t>
      </w:r>
      <w:r w:rsidR="00D034C6">
        <w:rPr>
          <w:lang w:val="en-US"/>
        </w:rPr>
        <w:t>movement.</w:t>
      </w:r>
    </w:p>
    <w:p w14:paraId="11034FA8" w14:textId="47139980" w:rsidR="00A45610" w:rsidRDefault="00D034C6" w:rsidP="00E44FD1">
      <w:pPr>
        <w:rPr>
          <w:lang w:val="en-US"/>
        </w:rPr>
      </w:pPr>
      <w:r>
        <w:rPr>
          <w:lang w:val="en-US"/>
        </w:rPr>
        <w:lastRenderedPageBreak/>
        <w:t xml:space="preserve">If we look at the consequences of the APP, completely descripted by their claims, the effects on the Palestinian genocide is null, the reason why, is not only because of the cease fire and free academic speech or liberties, but mainly because of the channeled manner in which the APS selected their targets, constrains its spatiality while being “transnational” and clearly diminish and control effectively the escalation of performances of struggle, holding the actors, the performances, the claims and the target of the APS completely under cooptation and completely under the policy and institutionalized tradition of mobilization proper of the “special and separate style of existence” of American Colleges in which “certain reality” as the APS is attended, acquiring a “sense of reality” of an emotional lived experience of </w:t>
      </w:r>
      <w:r w:rsidR="00A45610">
        <w:rPr>
          <w:lang w:val="en-US"/>
        </w:rPr>
        <w:t>a “global” juncture.</w:t>
      </w:r>
    </w:p>
    <w:p w14:paraId="26196F33" w14:textId="40F32197" w:rsidR="00A45610" w:rsidRDefault="00A45610" w:rsidP="00E44FD1">
      <w:pPr>
        <w:rPr>
          <w:lang w:val="en-US"/>
        </w:rPr>
      </w:pPr>
      <w:r>
        <w:rPr>
          <w:lang w:val="en-US"/>
        </w:rPr>
        <w:t xml:space="preserve">The manner in which this experience was structured depend not only </w:t>
      </w:r>
      <w:proofErr w:type="gramStart"/>
      <w:r>
        <w:rPr>
          <w:lang w:val="en-US"/>
        </w:rPr>
        <w:t>of</w:t>
      </w:r>
      <w:proofErr w:type="gramEnd"/>
      <w:r>
        <w:rPr>
          <w:lang w:val="en-US"/>
        </w:rPr>
        <w:t xml:space="preserve"> the analysis of individua interactions but of contentious interactions by which the scale and the “reality” of the “experience” can be understood also as “dislocated” from the frames of collective action developed in a concrete field of contention.</w:t>
      </w:r>
    </w:p>
    <w:p w14:paraId="0F38EAF7" w14:textId="77777777" w:rsidR="00A45610" w:rsidRDefault="00A45610" w:rsidP="00E44FD1">
      <w:pPr>
        <w:rPr>
          <w:lang w:val="en-US"/>
        </w:rPr>
      </w:pPr>
    </w:p>
    <w:p w14:paraId="7CDA8E10" w14:textId="77777777" w:rsidR="00D034C6" w:rsidRPr="00E44FD1" w:rsidRDefault="00D034C6" w:rsidP="00E44FD1">
      <w:pPr>
        <w:rPr>
          <w:lang w:val="en-US"/>
        </w:rPr>
      </w:pPr>
    </w:p>
    <w:p w14:paraId="33993E00" w14:textId="77777777" w:rsidR="00E44FD1" w:rsidRPr="00E44FD1" w:rsidRDefault="00E44FD1" w:rsidP="00E44FD1">
      <w:pPr>
        <w:rPr>
          <w:lang w:val="en-US"/>
        </w:rPr>
      </w:pPr>
    </w:p>
    <w:p w14:paraId="3EA71278" w14:textId="4387EEC7" w:rsidR="00E44FD1" w:rsidRPr="00E44FD1" w:rsidRDefault="00E44FD1" w:rsidP="00E44FD1">
      <w:pPr>
        <w:rPr>
          <w:lang w:val="en-US"/>
        </w:rPr>
      </w:pPr>
      <w:r w:rsidRPr="00E44FD1">
        <w:rPr>
          <w:lang w:val="en-US"/>
        </w:rPr>
        <w:t xml:space="preserve">While the interpretations and performances nurturing the "experience" of struggle flourished instantly in the US, mainly organized by Social Justice for Palestine (SJP) and its national system linked to People for Socialist Liberation (PSL), developed a well measured, funded and equipped national campaign of detainments triggered by a </w:t>
      </w:r>
      <w:proofErr w:type="spellStart"/>
      <w:proofErr w:type="gramStart"/>
      <w:r w:rsidRPr="00E44FD1">
        <w:rPr>
          <w:lang w:val="en-US"/>
        </w:rPr>
        <w:t>well developed</w:t>
      </w:r>
      <w:proofErr w:type="spellEnd"/>
      <w:proofErr w:type="gramEnd"/>
      <w:r w:rsidRPr="00E44FD1">
        <w:rPr>
          <w:lang w:val="en-US"/>
        </w:rPr>
        <w:t xml:space="preserve"> performance of "antagonization of police" to reach "radicalization" and "escalation", but clearly, without "direct action". Collective actions, finally, directed to a great defeat which by the puritanism sacrificed political commitments which supposed to clean the faces of ethical individuals mobilized mainly by its "transnational" link to a class struggle in which their performances develop in dislocation from the real power dynamic over which the Palestinian struggle of the US college students have null effects.</w:t>
      </w:r>
    </w:p>
    <w:p w14:paraId="7EC249E0" w14:textId="4C390BD6" w:rsidR="00E44FD1" w:rsidRPr="00E44FD1" w:rsidRDefault="00E44FD1" w:rsidP="00E44FD1">
      <w:pPr>
        <w:rPr>
          <w:lang w:val="en-US"/>
        </w:rPr>
      </w:pPr>
      <w:r w:rsidRPr="00E44FD1">
        <w:rPr>
          <w:lang w:val="en-US"/>
        </w:rPr>
        <w:t xml:space="preserve">The attribution of effectivity to the performances of encampments which finished with a well coopted labor union completely integrated in the political system. The "experience" created for the college US students nationally promote a "global" image of complete defeat of the Palestinian struggle in the current moment of the Gaza crisis, shows a particular face to the historical resistance of the people of not only Palestine, but for elsewhere around the world. The role of social media, mainly platforms as Instagram and Signal, </w:t>
      </w:r>
      <w:proofErr w:type="spellStart"/>
      <w:r w:rsidRPr="00E44FD1">
        <w:rPr>
          <w:lang w:val="en-US"/>
        </w:rPr>
        <w:t>facilite</w:t>
      </w:r>
      <w:proofErr w:type="spellEnd"/>
      <w:r w:rsidRPr="00E44FD1">
        <w:rPr>
          <w:lang w:val="en-US"/>
        </w:rPr>
        <w:t xml:space="preserve"> an infrastructure for "shared lived solidarity" with the lives and deaths of Palestinian children's that apparently created the </w:t>
      </w:r>
      <w:proofErr w:type="gramStart"/>
      <w:r w:rsidRPr="00E44FD1">
        <w:rPr>
          <w:lang w:val="en-US"/>
        </w:rPr>
        <w:t>most great</w:t>
      </w:r>
      <w:proofErr w:type="gramEnd"/>
      <w:r w:rsidRPr="00E44FD1">
        <w:rPr>
          <w:lang w:val="en-US"/>
        </w:rPr>
        <w:t xml:space="preserve"> movement of humanist solidarity in whole history. It was born in America, and is blessed by the bites of the bad Zionist in power which </w:t>
      </w:r>
      <w:proofErr w:type="gramStart"/>
      <w:r w:rsidRPr="00E44FD1">
        <w:rPr>
          <w:lang w:val="en-US"/>
        </w:rPr>
        <w:t>not represent</w:t>
      </w:r>
      <w:proofErr w:type="gramEnd"/>
      <w:r w:rsidRPr="00E44FD1">
        <w:rPr>
          <w:lang w:val="en-US"/>
        </w:rPr>
        <w:t xml:space="preserve"> the ideals of democracy. In that manner our individualistic souls can be sacrificed "virtually" by being martyrized, </w:t>
      </w:r>
      <w:proofErr w:type="spellStart"/>
      <w:r w:rsidRPr="00E44FD1">
        <w:rPr>
          <w:lang w:val="en-US"/>
        </w:rPr>
        <w:t>impresionad</w:t>
      </w:r>
      <w:proofErr w:type="spellEnd"/>
      <w:r w:rsidRPr="00E44FD1">
        <w:rPr>
          <w:lang w:val="en-US"/>
        </w:rPr>
        <w:t>, treated as the "pigs" treat "Palestinians".</w:t>
      </w:r>
    </w:p>
    <w:p w14:paraId="5021133D" w14:textId="7E9C4612" w:rsidR="00E44FD1" w:rsidRPr="00E44FD1" w:rsidRDefault="00E44FD1" w:rsidP="00E44FD1">
      <w:pPr>
        <w:rPr>
          <w:lang w:val="en-US"/>
        </w:rPr>
      </w:pPr>
      <w:r w:rsidRPr="00E44FD1">
        <w:rPr>
          <w:lang w:val="en-US"/>
        </w:rPr>
        <w:t xml:space="preserve">What the college students saw as the most powerful student movement since the Vietnam anti-war movement, is really working to produce a global "experience" of defeat of the social forces in struggle against genocide and militarized repression beyond Gaza. The ideological capacity to make the social struggle in the US to develop dislocated from </w:t>
      </w:r>
      <w:r w:rsidRPr="00E44FD1">
        <w:rPr>
          <w:lang w:val="en-US"/>
        </w:rPr>
        <w:lastRenderedPageBreak/>
        <w:t>the real outcomes of the political situation which is in question in the Gaza crisis triggered and defended by US imperialism in support of Israel state building genocide.</w:t>
      </w:r>
    </w:p>
    <w:p w14:paraId="27EAADA1" w14:textId="539462B9" w:rsidR="00E44FD1" w:rsidRPr="00E44FD1" w:rsidRDefault="00E44FD1" w:rsidP="00E44FD1">
      <w:pPr>
        <w:rPr>
          <w:lang w:val="en-US"/>
        </w:rPr>
      </w:pPr>
      <w:r w:rsidRPr="00E44FD1">
        <w:rPr>
          <w:lang w:val="en-US"/>
        </w:rPr>
        <w:t xml:space="preserve">The absence of self-bombing performances or armed struggle as well as </w:t>
      </w:r>
      <w:proofErr w:type="gramStart"/>
      <w:r w:rsidRPr="00E44FD1">
        <w:rPr>
          <w:lang w:val="en-US"/>
        </w:rPr>
        <w:t>hostages</w:t>
      </w:r>
      <w:proofErr w:type="gramEnd"/>
      <w:r w:rsidRPr="00E44FD1">
        <w:rPr>
          <w:lang w:val="en-US"/>
        </w:rPr>
        <w:t xml:space="preserve"> situations, performances of struggle developed robustly in the field of contention configured in Gaza against US imperialism, is not a casual result of the perfect form which the oppression of every challenger to the establishment reached by capitalism development.  </w:t>
      </w:r>
    </w:p>
    <w:p w14:paraId="79A83B99" w14:textId="091707D6" w:rsidR="00E44FD1" w:rsidRPr="00E44FD1" w:rsidRDefault="00E44FD1" w:rsidP="00E44FD1">
      <w:pPr>
        <w:rPr>
          <w:lang w:val="en-US"/>
        </w:rPr>
      </w:pPr>
      <w:r w:rsidRPr="00E44FD1">
        <w:rPr>
          <w:lang w:val="en-US"/>
        </w:rPr>
        <w:t xml:space="preserve">of a culture of democratic tolerance of class domination completely transparent in US as a social formation in real subsumption under the control of a certain fraction of industrial and financial capital alignments which rule at the top of </w:t>
      </w:r>
      <w:proofErr w:type="gramStart"/>
      <w:r w:rsidRPr="00E44FD1">
        <w:rPr>
          <w:lang w:val="en-US"/>
        </w:rPr>
        <w:t>the its</w:t>
      </w:r>
      <w:proofErr w:type="gramEnd"/>
      <w:r w:rsidRPr="00E44FD1">
        <w:rPr>
          <w:lang w:val="en-US"/>
        </w:rPr>
        <w:t xml:space="preserve"> "state", in coordination with their parts in the international state system hegemonically organized by the Sino-American capital shared imperialism of the Post-Cold War.  </w:t>
      </w:r>
    </w:p>
    <w:p w14:paraId="4603566A" w14:textId="77777777" w:rsidR="00E44FD1" w:rsidRPr="00E44FD1" w:rsidRDefault="00E44FD1" w:rsidP="00E44FD1">
      <w:pPr>
        <w:rPr>
          <w:lang w:val="en-US"/>
        </w:rPr>
      </w:pPr>
      <w:r w:rsidRPr="00E44FD1">
        <w:rPr>
          <w:lang w:val="en-US"/>
        </w:rPr>
        <w:t>This is a view that focuses on three key dimensions: first, the ongoing forging of new collective identities (‘identity shift’ and ‘actor constitution’ in the authors' terminology of mechanisms); second, new definitions of action (‘polarization’ and ‘scale shift’); and third, definitions and redefinitions of opportunity and threat (the mechanism of ‘opportunity—threat spirals’). Simplified, cultural elements of the _Dynamics of Contention_ can be thought of as anchored in the ongoing definition and redefinition of (1) the subject, (2) its actions and (3) the target or object of its actions.</w:t>
      </w:r>
    </w:p>
    <w:p w14:paraId="11CC387D" w14:textId="77777777" w:rsidR="00E44FD1" w:rsidRPr="003A4316" w:rsidRDefault="00E44FD1" w:rsidP="003A4316">
      <w:pPr>
        <w:rPr>
          <w:lang w:val="en-US"/>
        </w:rPr>
      </w:pPr>
    </w:p>
    <w:sectPr w:rsidR="00E44FD1" w:rsidRPr="003A4316">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9D86F9" w14:textId="77777777" w:rsidR="00B666E1" w:rsidRDefault="00B666E1" w:rsidP="003A4316">
      <w:pPr>
        <w:spacing w:after="0" w:line="240" w:lineRule="auto"/>
      </w:pPr>
      <w:r>
        <w:separator/>
      </w:r>
    </w:p>
  </w:endnote>
  <w:endnote w:type="continuationSeparator" w:id="0">
    <w:p w14:paraId="48C48F47" w14:textId="77777777" w:rsidR="00B666E1" w:rsidRDefault="00B666E1" w:rsidP="003A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4D065A" w14:textId="77777777" w:rsidR="00B666E1" w:rsidRDefault="00B666E1" w:rsidP="003A4316">
      <w:pPr>
        <w:spacing w:after="0" w:line="240" w:lineRule="auto"/>
      </w:pPr>
      <w:r>
        <w:separator/>
      </w:r>
    </w:p>
  </w:footnote>
  <w:footnote w:type="continuationSeparator" w:id="0">
    <w:p w14:paraId="69961B8E" w14:textId="77777777" w:rsidR="00B666E1" w:rsidRDefault="00B666E1" w:rsidP="003A4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65BA5" w14:textId="5DBFCFB7" w:rsidR="003A4316" w:rsidRPr="003A4316" w:rsidRDefault="003A4316">
    <w:pPr>
      <w:pStyle w:val="Encabezado"/>
      <w:rPr>
        <w:lang w:val="en-US"/>
      </w:rPr>
    </w:pPr>
    <w:r w:rsidRPr="003A4316">
      <w:rPr>
        <w:lang w:val="en-US"/>
      </w:rPr>
      <w:t>207B Sociological Theory</w:t>
    </w:r>
    <w:r w:rsidRPr="003A4316">
      <w:rPr>
        <w:lang w:val="en-US"/>
      </w:rPr>
      <w:tab/>
    </w:r>
    <w:r w:rsidRPr="003A4316">
      <w:rPr>
        <w:lang w:val="en-US"/>
      </w:rPr>
      <w:tab/>
      <w:t>Fi</w:t>
    </w:r>
    <w:r>
      <w:rPr>
        <w:lang w:val="en-US"/>
      </w:rPr>
      <w:t>nal Paper, Spring 2024</w:t>
    </w:r>
  </w:p>
  <w:p w14:paraId="0EC6987A" w14:textId="0D9F78E5" w:rsidR="003A4316" w:rsidRPr="003A4316" w:rsidRDefault="003A4316">
    <w:pPr>
      <w:pStyle w:val="Encabezado"/>
      <w:rPr>
        <w:lang w:val="en-US"/>
      </w:rPr>
    </w:pPr>
    <w:r w:rsidRPr="003A4316">
      <w:rPr>
        <w:lang w:val="en-US"/>
      </w:rPr>
      <w:t>Jason Turowetz</w:t>
    </w:r>
    <w:r>
      <w:rPr>
        <w:lang w:val="en-US"/>
      </w:rPr>
      <w:tab/>
    </w:r>
    <w:r>
      <w:rPr>
        <w:lang w:val="en-US"/>
      </w:rPr>
      <w:tab/>
      <w:t>José Manuel Mejía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316"/>
    <w:rsid w:val="002B4064"/>
    <w:rsid w:val="00360FA5"/>
    <w:rsid w:val="003A4316"/>
    <w:rsid w:val="00525263"/>
    <w:rsid w:val="006A14E1"/>
    <w:rsid w:val="00A45610"/>
    <w:rsid w:val="00A7258F"/>
    <w:rsid w:val="00B47288"/>
    <w:rsid w:val="00B666E1"/>
    <w:rsid w:val="00CB3FB8"/>
    <w:rsid w:val="00CE1A7F"/>
    <w:rsid w:val="00D034C6"/>
    <w:rsid w:val="00E44FD1"/>
    <w:rsid w:val="00EB5585"/>
    <w:rsid w:val="00F666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6E902"/>
  <w15:chartTrackingRefBased/>
  <w15:docId w15:val="{D0F6095E-608C-4354-B7D4-F39E773B9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B47288"/>
    <w:pPr>
      <w:spacing w:before="480" w:after="0" w:line="360" w:lineRule="auto"/>
      <w:jc w:val="center"/>
      <w:outlineLvl w:val="0"/>
    </w:pPr>
    <w:rPr>
      <w:rFonts w:ascii="Times New Roman" w:eastAsia="Times New Roman" w:hAnsi="Times New Roman" w:cs="Times New Roman"/>
      <w:b/>
      <w:kern w:val="0"/>
      <w:sz w:val="28"/>
      <w:szCs w:val="32"/>
      <w:lang w:val="es-ES" w:eastAsia="es-PE"/>
      <w14:ligatures w14:val="none"/>
    </w:rPr>
  </w:style>
  <w:style w:type="paragraph" w:styleId="Ttulo2">
    <w:name w:val="heading 2"/>
    <w:basedOn w:val="Normal"/>
    <w:next w:val="Normal"/>
    <w:link w:val="Ttulo2Car"/>
    <w:autoRedefine/>
    <w:uiPriority w:val="9"/>
    <w:unhideWhenUsed/>
    <w:qFormat/>
    <w:rsid w:val="00B47288"/>
    <w:pPr>
      <w:spacing w:before="200" w:after="0" w:line="360" w:lineRule="auto"/>
      <w:outlineLvl w:val="1"/>
    </w:pPr>
    <w:rPr>
      <w:rFonts w:ascii="Times New Roman" w:eastAsia="Times New Roman" w:hAnsi="Times New Roman" w:cs="Times New Roman"/>
      <w:b/>
      <w:kern w:val="0"/>
      <w:sz w:val="24"/>
      <w:szCs w:val="26"/>
      <w:lang w:val="es-ES" w:eastAsia="es-PE"/>
      <w14:ligatures w14:val="none"/>
    </w:rPr>
  </w:style>
  <w:style w:type="paragraph" w:styleId="Ttulo3">
    <w:name w:val="heading 3"/>
    <w:basedOn w:val="Normal"/>
    <w:next w:val="Normal"/>
    <w:link w:val="Ttulo3Car"/>
    <w:uiPriority w:val="9"/>
    <w:semiHidden/>
    <w:unhideWhenUsed/>
    <w:qFormat/>
    <w:rsid w:val="003A43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43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43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43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43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43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43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jc w:val="both"/>
    </w:pPr>
    <w:rPr>
      <w:rFonts w:ascii="Times New Roman" w:hAnsi="Times New Roman" w:cs="Times New Roman"/>
      <w:i/>
      <w:iCs/>
      <w:color w:val="404040" w:themeColor="text1" w:themeTint="BF"/>
      <w:szCs w:val="24"/>
      <w:lang w:val="en-US"/>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B47288"/>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B47288"/>
    <w:rPr>
      <w:rFonts w:ascii="Times New Roman" w:eastAsia="Times New Roman" w:hAnsi="Times New Roman" w:cs="Times New Roman"/>
      <w:b/>
      <w:kern w:val="0"/>
      <w:sz w:val="24"/>
      <w:szCs w:val="26"/>
      <w:lang w:val="es-ES" w:eastAsia="es-PE"/>
      <w14:ligatures w14:val="none"/>
    </w:rPr>
  </w:style>
  <w:style w:type="paragraph" w:styleId="TDC1">
    <w:name w:val="toc 1"/>
    <w:basedOn w:val="Normal"/>
    <w:next w:val="Normal"/>
    <w:autoRedefine/>
    <w:uiPriority w:val="39"/>
    <w:unhideWhenUsed/>
    <w:rsid w:val="00B47288"/>
    <w:pPr>
      <w:spacing w:after="100" w:line="360" w:lineRule="auto"/>
      <w:jc w:val="both"/>
    </w:pPr>
    <w:rPr>
      <w:rFonts w:ascii="Times New Roman" w:eastAsia="Times New Roman" w:hAnsi="Times New Roman" w:cs="Times New Roman"/>
      <w:kern w:val="0"/>
      <w:sz w:val="24"/>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3A43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43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43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43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43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43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4316"/>
    <w:rPr>
      <w:rFonts w:eastAsiaTheme="majorEastAsia" w:cstheme="majorBidi"/>
      <w:color w:val="272727" w:themeColor="text1" w:themeTint="D8"/>
    </w:rPr>
  </w:style>
  <w:style w:type="paragraph" w:styleId="Ttulo">
    <w:name w:val="Title"/>
    <w:basedOn w:val="Normal"/>
    <w:next w:val="Normal"/>
    <w:link w:val="TtuloCar"/>
    <w:uiPriority w:val="10"/>
    <w:qFormat/>
    <w:rsid w:val="003A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43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43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4316"/>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3A4316"/>
    <w:pPr>
      <w:ind w:left="720"/>
      <w:contextualSpacing/>
    </w:pPr>
  </w:style>
  <w:style w:type="character" w:styleId="nfasisintenso">
    <w:name w:val="Intense Emphasis"/>
    <w:basedOn w:val="Fuentedeprrafopredeter"/>
    <w:uiPriority w:val="21"/>
    <w:qFormat/>
    <w:rsid w:val="003A4316"/>
    <w:rPr>
      <w:i/>
      <w:iCs/>
      <w:color w:val="0F4761" w:themeColor="accent1" w:themeShade="BF"/>
    </w:rPr>
  </w:style>
  <w:style w:type="paragraph" w:styleId="Citadestacada">
    <w:name w:val="Intense Quote"/>
    <w:basedOn w:val="Normal"/>
    <w:next w:val="Normal"/>
    <w:link w:val="CitadestacadaCar"/>
    <w:uiPriority w:val="30"/>
    <w:qFormat/>
    <w:rsid w:val="003A4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4316"/>
    <w:rPr>
      <w:i/>
      <w:iCs/>
      <w:color w:val="0F4761" w:themeColor="accent1" w:themeShade="BF"/>
    </w:rPr>
  </w:style>
  <w:style w:type="character" w:styleId="Referenciaintensa">
    <w:name w:val="Intense Reference"/>
    <w:basedOn w:val="Fuentedeprrafopredeter"/>
    <w:uiPriority w:val="32"/>
    <w:qFormat/>
    <w:rsid w:val="003A4316"/>
    <w:rPr>
      <w:b/>
      <w:bCs/>
      <w:smallCaps/>
      <w:color w:val="0F4761" w:themeColor="accent1" w:themeShade="BF"/>
      <w:spacing w:val="5"/>
    </w:rPr>
  </w:style>
  <w:style w:type="paragraph" w:styleId="Encabezado">
    <w:name w:val="header"/>
    <w:basedOn w:val="Normal"/>
    <w:link w:val="EncabezadoCar"/>
    <w:uiPriority w:val="99"/>
    <w:unhideWhenUsed/>
    <w:rsid w:val="003A43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316"/>
  </w:style>
  <w:style w:type="paragraph" w:styleId="Piedepgina">
    <w:name w:val="footer"/>
    <w:basedOn w:val="Normal"/>
    <w:link w:val="PiedepginaCar"/>
    <w:uiPriority w:val="99"/>
    <w:unhideWhenUsed/>
    <w:rsid w:val="003A43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3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2AFF33"/>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99CB5-1E17-46DE-A4E8-B6A027624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3</Pages>
  <Words>1503</Words>
  <Characters>8268</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2</cp:revision>
  <dcterms:created xsi:type="dcterms:W3CDTF">2024-06-05T17:58:00Z</dcterms:created>
  <dcterms:modified xsi:type="dcterms:W3CDTF">2024-06-05T22:50:00Z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id="oHedaWu0"/&gt;&lt;style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