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tabs>
          <w:tab w:val="left" w:pos="0"/>
        </w:tabs>
        <w:bidi w:val="0"/>
        <w:spacing w:before="180" w:after="180" w:line="240" w:lineRule="auto"/>
        <w:ind w:left="0" w:right="0" w:firstLine="0"/>
        <w:jc w:val="left"/>
        <w:rPr>
          <w:rFonts w:ascii="Cambria" w:eastAsia="Cambria" w:hAnsi="Cambria" w:cs="Cambria"/>
          <w:b w:val="0"/>
          <w:i w:val="0"/>
          <w:strike w:val="0"/>
          <w:color w:val="auto"/>
          <w:sz w:val="24"/>
          <w:highlight w:val="none"/>
          <w:u w:val="none"/>
          <w:vertAlign w:val="baseline"/>
          <w:rtl w:val="0"/>
        </w:rPr>
      </w:pPr>
      <w:r>
        <w:rPr>
          <w:rFonts w:ascii="Cambria" w:eastAsia="Cambria" w:hAnsi="Cambria" w:cs="Cambria"/>
          <w:b w:val="0"/>
          <w:i w:val="0"/>
          <w:strike w:val="0"/>
          <w:color w:val="auto"/>
          <w:sz w:val="24"/>
          <w:highlight w:val="none"/>
          <w:u w:val="none"/>
          <w:vertAlign w:val="baseline"/>
          <w:rtl w:val="0"/>
        </w:rPr>
        <w:t>The antisystemic effects hypothesis for antimining struggles</w:t>
      </w:r>
      <w:r>
        <w:rPr>
          <w:rFonts w:ascii="Cambria" w:eastAsia="Cambria" w:hAnsi="Cambria" w:cs="Cambria"/>
          <w:b w:val="0"/>
          <w:i w:val="0"/>
          <w:strike w:val="0"/>
          <w:color w:val="auto"/>
          <w:sz w:val="24"/>
          <w:highlight w:val="none"/>
          <w:u w:val="none"/>
          <w:vertAlign w:val="baseline"/>
          <w:rtl w:val="0"/>
        </w:rPr>
        <w:t xml:space="preserve"> </w:t>
      </w:r>
      <w:r>
        <w:rPr>
          <w:rFonts w:ascii="Cambria" w:eastAsia="Cambria" w:hAnsi="Cambria" w:cs="Cambria"/>
          <w:b w:val="0"/>
          <w:i w:val="0"/>
          <w:strike w:val="0"/>
          <w:color w:val="auto"/>
          <w:sz w:val="24"/>
          <w:highlight w:val="none"/>
          <w:u w:val="none"/>
          <w:vertAlign w:val="baseline"/>
          <w:rtl w:val="0"/>
        </w:rPr>
        <w:t>The advancement of money-capital by bank capitalists through the circuit of mining reproduction in Los Andes produces surplus-value shaped and weighted as commodity-capital ready for being converted in the total profit form of surplus-value by its market sale, in which case its surplus-value form is gone. But, in the case of gold, at the same time can be accounted as money-capital able for being transformed into profit by its exchange for pure currency money-capital, or can either still being gold hoarded under its commodity-capital shape (see Figure 2 and Figure 3). In that manner, gold retains its surplus-value form embodied in the volume of gold commodity-capital produced by a determined organic composition of finance capital advanced for mining under concrete natural, cultural, and historical conditions. The natural and cultural conditions are determinants for the reproduction of the finance capital invested in mining production and commercialization by bank state capitalists trusts. When the economic formations developed with the concentration and centralization processes saturated its</w:t>
      </w:r>
      <w:r>
        <w:rPr>
          <w:rFonts w:ascii="Cambria" w:eastAsia="Cambria" w:hAnsi="Cambria" w:cs="Cambria"/>
          <w:b w:val="0"/>
          <w:i w:val="0"/>
          <w:strike w:val="0"/>
          <w:color w:val="auto"/>
          <w:sz w:val="24"/>
          <w:highlight w:val="none"/>
          <w:u w:val="none"/>
          <w:vertAlign w:val="baseline"/>
          <w:rtl w:val="0"/>
        </w:rPr>
        <w:t xml:space="preserve"> </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national-economy</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 xml:space="preserve"> </w:t>
      </w:r>
      <w:r>
        <w:rPr>
          <w:rFonts w:ascii="Cambria" w:eastAsia="Cambria" w:hAnsi="Cambria" w:cs="Cambria"/>
          <w:b w:val="0"/>
          <w:i w:val="0"/>
          <w:strike w:val="0"/>
          <w:color w:val="auto"/>
          <w:sz w:val="24"/>
          <w:highlight w:val="none"/>
          <w:u w:val="none"/>
          <w:vertAlign w:val="baseline"/>
          <w:rtl w:val="0"/>
        </w:rPr>
        <w:t>scale, the fierce competition for a highly advanced inter-</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nationalization</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 xml:space="preserve"> </w:t>
      </w:r>
      <w:r>
        <w:rPr>
          <w:rFonts w:ascii="Cambria" w:eastAsia="Cambria" w:hAnsi="Cambria" w:cs="Cambria"/>
          <w:b w:val="0"/>
          <w:i w:val="0"/>
          <w:strike w:val="0"/>
          <w:color w:val="auto"/>
          <w:sz w:val="24"/>
          <w:highlight w:val="none"/>
          <w:u w:val="none"/>
          <w:vertAlign w:val="baseline"/>
          <w:rtl w:val="0"/>
        </w:rPr>
        <w:t>development operate by the pure militarism of imperialists wars in Ukraine, Palestine, and probably soon in Taiwan. And by mean of imperialists securitization interventions on semi-colonial</w:t>
      </w:r>
      <w:r>
        <w:rPr>
          <w:rFonts w:ascii="Cambria" w:eastAsia="Cambria" w:hAnsi="Cambria" w:cs="Cambria"/>
          <w:b w:val="0"/>
          <w:i w:val="0"/>
          <w:strike w:val="0"/>
          <w:color w:val="auto"/>
          <w:sz w:val="24"/>
          <w:highlight w:val="none"/>
          <w:u w:val="none"/>
          <w:vertAlign w:val="baseline"/>
          <w:rtl w:val="0"/>
        </w:rPr>
        <w:t xml:space="preserve"> </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national-economies</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 as the militarized repression over the massive uprisings of Ecuador (2019) (Iza, Tapia and Madrid 2020), Chile (2019), Colombia (2020-2022), Peru (2022-2023) (Montoya and Quiroz 2023), and most recently Venezuela (2024). By inter-</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nationalization</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 xml:space="preserve"> </w:t>
      </w:r>
      <w:r>
        <w:rPr>
          <w:rFonts w:ascii="Cambria" w:eastAsia="Cambria" w:hAnsi="Cambria" w:cs="Cambria"/>
          <w:b w:val="0"/>
          <w:i w:val="0"/>
          <w:strike w:val="0"/>
          <w:color w:val="auto"/>
          <w:sz w:val="24"/>
          <w:highlight w:val="none"/>
          <w:u w:val="none"/>
          <w:vertAlign w:val="baseline"/>
          <w:rtl w:val="0"/>
        </w:rPr>
        <w:t>we mean the process in which bank capitalists trusts organizes the allocation of their money-capital threw as</w:t>
      </w:r>
      <w:r>
        <w:rPr>
          <w:rFonts w:ascii="Cambria" w:eastAsia="Cambria" w:hAnsi="Cambria" w:cs="Cambria"/>
          <w:b w:val="0"/>
          <w:i w:val="0"/>
          <w:strike w:val="0"/>
          <w:color w:val="auto"/>
          <w:sz w:val="24"/>
          <w:highlight w:val="none"/>
          <w:u w:val="none"/>
          <w:vertAlign w:val="baseline"/>
          <w:rtl w:val="0"/>
        </w:rPr>
        <w:t xml:space="preserve"> </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foreign direct investment</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 xml:space="preserve"> </w:t>
      </w:r>
      <w:r>
        <w:rPr>
          <w:rFonts w:ascii="Cambria" w:eastAsia="Cambria" w:hAnsi="Cambria" w:cs="Cambria"/>
          <w:b w:val="0"/>
          <w:i w:val="0"/>
          <w:strike w:val="0"/>
          <w:color w:val="auto"/>
          <w:sz w:val="24"/>
          <w:highlight w:val="none"/>
          <w:u w:val="none"/>
          <w:vertAlign w:val="baseline"/>
          <w:rtl w:val="0"/>
        </w:rPr>
        <w:t>to the most profitable and strategic industries, becoming finance capital situated in the territory of a semi-colonial state for the aims of its reproduction. Taking advantage of the wages differences correspondent to the world division of labor hidden under the less mysterious and elder phenomenon of</w:t>
      </w:r>
      <w:r>
        <w:rPr>
          <w:rFonts w:ascii="Cambria" w:eastAsia="Cambria" w:hAnsi="Cambria" w:cs="Cambria"/>
          <w:b w:val="0"/>
          <w:i w:val="0"/>
          <w:strike w:val="0"/>
          <w:color w:val="auto"/>
          <w:sz w:val="24"/>
          <w:highlight w:val="none"/>
          <w:u w:val="none"/>
          <w:vertAlign w:val="baseline"/>
          <w:rtl w:val="0"/>
        </w:rPr>
        <w:t xml:space="preserve"> </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globalization</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 xml:space="preserve"> </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transnationalization</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 or much honest</w:t>
      </w:r>
      <w:r>
        <w:rPr>
          <w:rFonts w:ascii="Cambria" w:eastAsia="Cambria" w:hAnsi="Cambria" w:cs="Cambria"/>
          <w:b w:val="0"/>
          <w:i w:val="0"/>
          <w:strike w:val="0"/>
          <w:color w:val="auto"/>
          <w:sz w:val="24"/>
          <w:highlight w:val="none"/>
          <w:u w:val="none"/>
          <w:vertAlign w:val="baseline"/>
          <w:rtl w:val="0"/>
        </w:rPr>
        <w:t xml:space="preserve"> </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inter-nationalization</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 xml:space="preserve"> </w:t>
      </w:r>
      <w:r>
        <w:rPr>
          <w:rFonts w:ascii="Cambria" w:eastAsia="Cambria" w:hAnsi="Cambria" w:cs="Cambria"/>
          <w:b w:val="0"/>
          <w:i w:val="0"/>
          <w:strike w:val="0"/>
          <w:color w:val="auto"/>
          <w:sz w:val="24"/>
          <w:highlight w:val="none"/>
          <w:u w:val="none"/>
          <w:vertAlign w:val="baseline"/>
          <w:rtl w:val="0"/>
        </w:rPr>
        <w:t>of production in the world-economy of imperialism (Marx [1864-1865]2017:47-54; Bukharin [1915]1966:17-18, 53, 60-62; Lenin [1917]1964:260, 265-266, 278-279). The bank capitalists state trusts investments are backed up in gold-world-money-capital proportional to an expected potential amount of money-capital which are able to realize by the circulation process in the transformation of surplus-value into profit (Marx, [30 April 1868]1988:21-24). Guaranteeing onward its differentiated reproduction scales for a further stage of capitalism development, at a historical time in which the irresolute tendency of its contradictions are expressed in the ecological, productive and shared imperialism crisis. The antimining struggles have antisystemic effects obstructing the circuit of mining reproduction of certain finance capitals. More specifically, the successful contentious campaigns of mining protests and antimining struggles in Los Andes involved the sustained execution of obstructive performances of struggle, such as the blockade of roads or the protective occupation of mountains and lagoons, as have been done in Cajamarca and Apurímac in Peru, and  Cotopaxi in Ecuador, as in other territories in  Colombia, Chile and most recently Argentina, to stop imperialists mining projects (Mejía 2021:97-99). Indeed, the indigenous-cholo peasantry blockade the production and transportation of a compromised volume of mining commodity-capital, during an expected circulation time, and with a predetermined organic composition. The increment of the time of circulation in the transformation of surplus-value into profit, delays the consumption of the finance capital invested in constant capital, increasing the difference between the rate of surplus-value and the rate of profit, an indeed transforming a reduced magnitude of surplus-value into total profit. When the surplus value is transformed into total profit during an expected circulation time, i.e. a year, the following dynamics describe this process of metamorphosis, s’—meta—&gt; p’ (Marx [1864-1865]2017:49-55): The total capital advanced (C) to any circuit of reproduction have two components: constant capital (c), and variable capital (v). As v is always necessarily greater than cero, if c is greater than cero, then C is greater than v The rate of surplus-value (s’) is equal to the ratio of the surplus-value (s) and the variable capital (v); and the rate of profit (p’) is equal to the ratio of the surplus-value (s’) to the total capital (k) The difference between the rate of surplus-value (s’) and the rate of profit (p’) is related to the rate of profit (p’) as the constant capital (c) is related to the variable capital (v). And, the rate of profit (p’) is related to the rate of surplus-value (s’) as the variable capital (v) is related to the total capital (C) The more the constant capital (c) increases, the more the difference between the total capital (C) and the variable capital (v) grows, and the smaller the proportion expressed by the rate of profit (p’=s/C) in comparison with the rate of surplus-value (s’=s/v), or the proportion yield as rate of profit from the rate of surplus-value (p’/s’) that is related to the excess of the rate of profit (s’-p’): As a whole, the reproduction of finance capital (M-C-M’) implies the transformation of money-capital (M) into productive-capital (P), (M — C — M’) ——&gt; (M — P — C — M’), for an expected higher rate of profit (p’) equal to the ratio between the surplus-value (s) already frozen in certain volume of commodity-capital (C) -a super-profit produced by the selected super-exploitation of higher productive unpaid concrete work-time-life due to the lower wages paid in comparison of the magnitude of variable capital (v) that would be invested in the national-economies” where the realization of the surplus-value (s) exploited is converted into augmented money (M’) as profit-, and the total capital advanced (C) (Marx, [30 April 1868]1988:21-24; Bukharin, [1915]1966:81-83). The circuit of mining capital accumulation of the imperialist bourgeoisies cannot achieve the transformation of their finance capital into increased money-capital, as total profit, because of the operation of the following mechanisms over the dynamics of the metamorphosis process by which the surplus-value takes its profit form (see above): 1) delaying the circulation of the surplus-value transformation into total profit, and 2) disrupting the expected organic composition of finance capital  advanced in the production of surplus-value, and in its posterior transformation into total profit; which 3) trigger the gold hoarding by imperialists bank state trusts, because gold-holdings are money-capital and commodity-capital at the same time, but in contrast with monetized-capital in form of paper (</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monopoly</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 money -pure currency-, gold-money-capital can hold its surplus-value form of commodity-capital, in that manner delaying its transformation in profit when the rate of profit decreases;   4) as we just explained above, the increment of the constant capital magnitude decreases the rate of profit, as a reduced amount of surplus-value is transformed into total profit, as a result of the delay in the circulation of the finance capital due to the antisystemic obstruction of anti-mining struggles; 5) indeed, disrupting the rate of surplus value and rate of profit of the imperialists bourgeoisies in ongoing militarist expansion of their mining accumulation circuits by mean of imperialist wars or imperialists interventions oriented to establish its relations of production in the</w:t>
      </w:r>
      <w:r>
        <w:rPr>
          <w:rFonts w:ascii="Cambria" w:eastAsia="Cambria" w:hAnsi="Cambria" w:cs="Cambria"/>
          <w:b w:val="0"/>
          <w:i w:val="0"/>
          <w:strike w:val="0"/>
          <w:color w:val="auto"/>
          <w:sz w:val="24"/>
          <w:highlight w:val="none"/>
          <w:u w:val="none"/>
          <w:vertAlign w:val="baseline"/>
          <w:rtl w:val="0"/>
        </w:rPr>
        <w:t xml:space="preserve"> </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national-economies</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 xml:space="preserve"> </w:t>
      </w:r>
      <w:r>
        <w:rPr>
          <w:rFonts w:ascii="Cambria" w:eastAsia="Cambria" w:hAnsi="Cambria" w:cs="Cambria"/>
          <w:b w:val="0"/>
          <w:i w:val="0"/>
          <w:strike w:val="0"/>
          <w:color w:val="auto"/>
          <w:sz w:val="24"/>
          <w:highlight w:val="none"/>
          <w:u w:val="none"/>
          <w:vertAlign w:val="baseline"/>
          <w:rtl w:val="0"/>
        </w:rPr>
        <w:t>at which the mining precious</w:t>
      </w:r>
      <w:r>
        <w:rPr>
          <w:rFonts w:ascii="Cambria" w:eastAsia="Cambria" w:hAnsi="Cambria" w:cs="Cambria"/>
          <w:b w:val="0"/>
          <w:i w:val="0"/>
          <w:strike w:val="0"/>
          <w:color w:val="auto"/>
          <w:sz w:val="24"/>
          <w:highlight w:val="none"/>
          <w:u w:val="none"/>
          <w:vertAlign w:val="baseline"/>
          <w:rtl w:val="0"/>
        </w:rPr>
        <w:t xml:space="preserve"> </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raw</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 xml:space="preserve"> </w:t>
      </w:r>
      <w:r>
        <w:rPr>
          <w:rFonts w:ascii="Cambria" w:eastAsia="Cambria" w:hAnsi="Cambria" w:cs="Cambria"/>
          <w:b w:val="0"/>
          <w:i w:val="0"/>
          <w:strike w:val="0"/>
          <w:color w:val="auto"/>
          <w:sz w:val="24"/>
          <w:highlight w:val="none"/>
          <w:u w:val="none"/>
          <w:vertAlign w:val="baseline"/>
          <w:rtl w:val="0"/>
        </w:rPr>
        <w:t>materials are situated. In this sense, the indigenous-cholo peasantry antimining struggles challenge the circulation of the finance capital of the imperialists mining bourgeoisies, obstructing the production and circulation of mining commodities. The circuit of mining capital accumulation obstruction reduce the amount of surplus-value able for its realization as profit, reached by the sell of the mineral raw materials shaped as a volume of commodity-capital. If the time of circulation and organic finance capital composition are disrupted, the expected rate of super-profit decreases, and the gold-money-commodity-capital appears as the preferred shape of capital to hold its surplus-value form, until the rate of super-profit increases enough to finish its circulation process as pure monetized total profit. In this point a psychological, if not substantial argument can hold. The economic rationality as is contextual, expect an opportunity, a sign of fortune which enhance its virtue. The window of opportunity should have the size correspondent to the satisfaction of its ideological expectation about how much they (the top-layer capitalists syndicated in international bank state capitalists trusts holding the world-gold-capital) can increase its class-differentiation by the kind of opportunity for capital reproduction that can satisfy its will for power as the metamorphosis of becoming something differentiated, sublimated, alienated by the exploitation and domination of others as a mean and necessary-sufficient condition of their existence in the economic formation which they constitute as a top-world-imperialist-class integrated by the capitalists syndicated in international bank states capitalists trusts. This means became differentiated, alienated, sublimated, obviously not (only) from its world antagonistic classes (as history don’t repeats, its not a primitive accumulation process of world-scale dispossession). That was already granted at a world-scale, since the inter-</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national</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 xml:space="preserve"> </w:t>
      </w:r>
      <w:r>
        <w:rPr>
          <w:rFonts w:ascii="Cambria" w:eastAsia="Cambria" w:hAnsi="Cambria" w:cs="Cambria"/>
          <w:b w:val="0"/>
          <w:i w:val="0"/>
          <w:strike w:val="0"/>
          <w:color w:val="auto"/>
          <w:sz w:val="24"/>
          <w:highlight w:val="none"/>
          <w:u w:val="none"/>
          <w:vertAlign w:val="baseline"/>
          <w:rtl w:val="0"/>
        </w:rPr>
        <w:t>division of labor of the world-economy was completing or saturating its relations of production, while developed its concentration and centralization processes inter-</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nationally</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 Of which are a part the horizontal decentralization of the Sino-American economic formations and their relations of production and circulation, under breaking conditions of shared imperialism. As well as the imperialists wars and military interventions by which the geopolitical and geoeconomic contention develops their competition. The class-differentiation process is an intended result of the economic and political war in which the top-layer members of the international bank capitalists states trusts contend. The differentiation process is not driven by the production of surplus-value in the shape of commodity-capital, but by the circulation of overaccumulated world-capital funds as finance-money-capital into a reproduction process by a higher rate or profit. The resulted accumulation of augmented world-capital is expected to reach a quantitative critical point in which a qualitative change of world-scale effects is achieved in the concentration of capital process which implied the preparation of the most crude of the imperialists wars. As in that manner the advancement of competitive and old forces of production are destroyed, and the new relations of production can be implanted to organize a world-economy for the reproduction of the world-capital of this top-layer of capitalists syndicated in the international bank state capitalists trusts ruling the geopolitical and geoeconomical contention.   With not only consequences over the world-economy class structure and modes of production, but mainly over the natural, cultural, and historical conditions for our social reproduction. In their, atomized psychology the idea by which: a higher amount of capital advanced as finance capital into higher productive</w:t>
      </w:r>
      <w:r>
        <w:rPr>
          <w:rFonts w:ascii="Cambria" w:eastAsia="Cambria" w:hAnsi="Cambria" w:cs="Cambria"/>
          <w:b w:val="0"/>
          <w:i w:val="0"/>
          <w:strike w:val="0"/>
          <w:color w:val="auto"/>
          <w:sz w:val="24"/>
          <w:highlight w:val="none"/>
          <w:u w:val="none"/>
          <w:vertAlign w:val="baseline"/>
          <w:rtl w:val="0"/>
        </w:rPr>
        <w:t xml:space="preserve"> </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national-economies</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 xml:space="preserve"> </w:t>
      </w:r>
      <w:r>
        <w:rPr>
          <w:rFonts w:ascii="Cambria" w:eastAsia="Cambria" w:hAnsi="Cambria" w:cs="Cambria"/>
          <w:b w:val="0"/>
          <w:i w:val="0"/>
          <w:strike w:val="0"/>
          <w:color w:val="auto"/>
          <w:sz w:val="24"/>
          <w:highlight w:val="none"/>
          <w:u w:val="none"/>
          <w:vertAlign w:val="baseline"/>
          <w:rtl w:val="0"/>
        </w:rPr>
        <w:t>is expected to result in a higher rate of profit. Indeed, the hoarding of gold, operates as a reserve fund which expresses the contradiction between the accumulation of monetized-money-capital and gold-money-capital in the national reserves of U.S. and China, particularly. It appears as if U.S. bank capitalists state trust is being ready for the transformation of a certain volume of gold-money-capital in monetized-capital beared in an inverse proportion by China’s bank capitalist state trust. And viceversa. Their will of sublimation, their will of power, drives its competitive voracity in a gold rush. Hoarded the fund of gold, they wait for an opportunity to finish its circulation as money-capital. The reproduction of an immense volume of monetized-capital (accumulated in the shape of U.S. dollar hegemonic currency) under the existing conditions impossible to be productively invested in the reproduction of their capital. From which point, a portion of its total profit, correspondent to the enterprise profit will circulate as advanced (finance) capital in the next stage of mining production, another part will be paid as rent, another is accumulated by interest-profit. The part of enterprise-profit which is impossible to invest as advanced capital, is overaccumulated as a reserve fund of money-capital from which a minuscule portion can be expended by the top-layer capitalists bearing it. Meanwhile, the historical conditions expressed in indigenous-cholo antimining struggles of Los Andes in direct contention to the most advanced economic formations of imperialism world-economy, also evidence an advanced development of the historical process of class struggle. The antimining struggles have effects on a world scale on the decrease in the rate of profit due to the obstruction of the time of circulation in the transformation of surplus-value into profit, in addition to disturbing the organic composition of the capital advanced by the mining circuit of reproduction, in the monetary hoarding of gold by the bank capitalists state trusts. They have an antisystemic effect on the circuit of extended capital accumulation of the imperialist bourgeoisies by blocking the expansion of their extractive mining frontier, and obstructing the production and trade of minerals in general, and gold in particular. Antimining struggles blocking the expansion of the U.S. gold mining extractive frontier in Cajamarca The expansion of the extractive frontier of Minera Yanacocha-Newmont in Cajamarca has been contested by an mining movement that employs what is called a unique front strategy. It has proven to be effective in creating sufficient people’s social power to confront imperialist mining. The harshness of the military’s repression against the popular and mainly peasant mining movement in Cajamarca revealed the cruelty of the imperialist domination in Peru, just after the democratic election of a president of nationalist and military background (Ollanta Humala). The mining struggles in Cajamarca taught us that peasant struggles can be interpreted and developed as anti-imperialist struggles, since they imply a class confrontation between two extremes of capitalist accumulation: the international mining bourgeoisie and the indigenous peasantry. The challenge that mining struggles represent for the central nucleus of imperialist domination in countries where mining constitutes the main enclave of capitalist accumulation, points to the strategic nature of the mining struggles. They are the spearhead for the development of an antisystemic movement, as well as critical for the geo-economics needs of the dynamics of capital accumulation during the current systemic crisis (Veltmeyer 2015:124; Wallerstein 2002:38). The mining struggles for the defense of Quilish Mountain and the water sources of Cajamarca in 2004 had shown the effectiveness of the unique front strategy: they have joined the efforts of multiple organizations. These include: peasant nightwatch organizations (</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rondas campesinas</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 irrigation boards (</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juntas de riego</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 urban nightwatch organizations (</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rondas urbanas</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 the teachers union at the provincial and district level (SUTEP-Cajamarca), fractions of the PCP-PR of Cajamarca, and university students and environmental NGOs such as Ecovida and Grufides. Since the beginning of the struggle against the Conga mining project of Minera Yanacocha-Newmont in November 2011, the environmental defense fronts confronted the government of the recently elected president Ollanta Humala who had promised to the peasants that Cajamarca’s lagoons would not be destroyed nor would mining be allowed without popular consent. In this context, the sustained mining campaign opposing Minera Yanacocha-Newmont’s Conga project escalated, contesting not only to the U.S. gold mining company, but directly the administration and government of the former military captain and President Ollanta Humala. The formation of the environmental defense fronts at the beginning of the first decade of the 2000s in Cajamarca was the result of a political coalition between the environmental NGOs –particularly Ecovida–, the teachers provincial union (SUTEP Cajamarca) and the peasant nightwatch organizations then controlled by the PCP-PR, as an effective strategy to unite the popular forces in defense of Cajamarca’s water sources. However, after some time this coalition lost control of the popular mining movement. In this context, a new group of leaders, composed of radical professional politicians, garnered control of the movement, limiting the role of the PCP-PR and the environmental NGOs. Thus, in September of 2010, Celendin’s first declaration was made to create the Interprovincial Coordinator for the Defense of the Environment, which forged a new strong coalition for mining struggles including second-level organizations of five provinces located in the direct influence area of the Conga mining project (Interview LM2 03/06/2014). This coalition would allow coordination between the environmental NGOs, led by Marco Arana (GRUFIDES), and the radical fraction of the popular movement of Cajamarca led by Wilfredo Saavedra. As the latter was gaining strength among the peasant and urban bases of Cajamarca, bringing together fractions of the teacher’s union (SUTEP Cajamarca) and peasant and urban nightwatch organizations (</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rondas campesinas y urbanas</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 opposed to the control of the PCP-PR, the frictions between these sectors worsened. With the formation of this new coalition, the sector of Wilfredo Saavedra would be in charge of learning and translating the environmental framework to a broader sector of the peasantry, university students and neighborhood organizations. This demonstrated the capacity of the radical sector leadership to further broaden the bases of the unique front against the expansion of the extractive frontier of Minera Yanacocha-Newmont. The radicalization of the struggle began on November 24, 2011, when the peasants of Bambamarca and Celendín took over the lagoons that the Conga Mining Project planned to destroy. This performance of struggle required an effective organizational structure that would allow the mobilization and rotation of 200 peasants every two days to prevent the machinery of Minera Yanacocha, the police and the military from entering the lagoons and taking control of water sources (Interview LM5 03/08/2014). The magnitude of the repression carried out by the government of Ollanta Humala crudely demonstrates the operation of mining accumulation by repression against the peasantry of Cajamarca. The militarization of Cajamarca was order by decree RS 231-2012-DE, which imposed the state of emergency from May 29 to June 25, 2012 in the provinces of Cajamarca, Celendín and Hualgayoc. In this context, on July 3, 2012, during the 34th day of the regional strike (</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paro regional indefinido</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 in Cajamarca, the military forces killed four peasants in the town’s square of Celendín:</w:t>
      </w:r>
      <w:r>
        <w:rPr>
          <w:rFonts w:ascii="Cambria" w:eastAsia="Cambria" w:hAnsi="Cambria" w:cs="Cambria"/>
          <w:b w:val="0"/>
          <w:i w:val="0"/>
          <w:strike w:val="0"/>
          <w:color w:val="auto"/>
          <w:sz w:val="24"/>
          <w:highlight w:val="none"/>
          <w:u w:val="none"/>
          <w:vertAlign w:val="baseline"/>
          <w:rtl w:val="0"/>
        </w:rPr>
        <w:t xml:space="preserve"> </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Here, on July 3, it happened that the police and the military were down on the corner [..] when they started shooting at us, then the people who were here in the central square [of Celendín] began to run through different places […]; and the people […] took shelter here in the church of the Virgen del Carmen. And when the police and the military came […] wanting to break it down [the door] […]. The priests were inside […], the door of the church was open to shelter us because if it hadn’t been open suddenly more of us would have been killed; but thank God the door was open, and we entered, more or less 200 people. We were sheltered inside from around 4[pm]in the afternoon until 8:30 at night, until the priest asked the Ombudsman of the Peruvian state to come and get us out: because we couldn’t go out because the military and the police were full [at] [the courtyard of the church]. […] And then they thought that we had thrown stones at each other, we had killed each other with stones [referring to the fallacious and blatant lies of the then Minister of the Interior, who had “informed” that the [four] dead in Celendín were a result of stones thrown by the protesters themselves]. But it wasn’t true because my son had the bullet that had entered his mouth. The first helicopter that came, then […] since he was filming the helicopter, like this [raises an arm and makes the gesture of holding a video camera or cell phone pointed at the sky] […] the bullet had entered through his mouth and had stayed […] in the brain. So that was what they had taken out [in the autopsy] because the little teeth here and the bones there [touches his mouth] had been found in his stomach</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 xml:space="preserve"> </w:t>
      </w:r>
      <w:r>
        <w:rPr>
          <w:rFonts w:ascii="Cambria" w:eastAsia="Cambria" w:hAnsi="Cambria" w:cs="Cambria"/>
          <w:b w:val="0"/>
          <w:i w:val="0"/>
          <w:strike w:val="0"/>
          <w:color w:val="auto"/>
          <w:sz w:val="24"/>
          <w:highlight w:val="none"/>
          <w:u w:val="none"/>
          <w:vertAlign w:val="baseline"/>
          <w:rtl w:val="0"/>
        </w:rPr>
        <w:t>(SERVINDI 2014). The mobilized groups in Celendín marched to the Municipality’s building to demand the town Mayor Mauro Silas to stay on the people’s side in their struggle to defend the lagoons.  The shots made by the military from the balcony of the municipal building and from helicopters, exhibited the magnitude of the imperialist mining repression. The brutality of the military’s repression of the popular mining movement in Cajamarca revealed the imperialist nature of the domination exercised by the international mining bourgeoisie. Obstructing China’s copper mining under imperialist U.S. domination in Apurímac The cruelty of the imperialist repression against the mining workers during the 20th century reveals the magnitude of the repression of the mining struggle carried out by the peasantry today, after a century of political mining contention in Peru. The social formation that currently directly confronts extractive mining capital is the peasantry, not the mining proletariat. By claiming the defense of water, and and life against the extension of the extractive frontier, mining struggles show themselves to be absolutely antagonistic to the extractive capitalist accumulation process. That is, as a frontal struggle against the international mining bourgeoisie, and even beyond, the mining struggle confronts the capitalist system and the productive and commercial dynamics that sustain it on a global scale, blocking its reproduction. Faced with this problem, imperialist domination mobilized the armed military forces to enforce the interests of the mining bourgeoisie (Lust 2016:5). On Friday, October 14, 2016, two hundred indigenous peasants from the communities of Choquecca, Quehuira, Allahua, Antuyo and Pumamarca, located in the province of Cotabambas (Apurímac), began a road blockade obstructing the trucks loaded with mineral ore through the mining road used by the Chinese capital company MMG Limited Las Bambas. The peasant communities demanded payment from the mining company for the use of a communal road within their territories, through which the mine site connects to the main mining road and the trucks loaded with mineral ore head to the port of Matarani in the region of Arequipa. The road blockade that started that morning was brutally cleared by the police, killing community member Quintino Cereceda Huiza with a bullet to the head and wounding twenty more peasants. A few days later, the Minister of the Interior (security) Carlos Basombrío, declared that the police forces were not authorized in any way to clear the road blockade that day (El Comercio 2016:8). The communities of southern Cotabambas rebelled against the power of the Chinese mining company MMG Limited Las Bambas for 186 days until April 17, 2017, when the province of Cotabambas was assigned the state of emergency, authorizing military repression against community members. Although the mining struggle of the peasant communities of Cotabambas (Apurímac) against the Chinese mining company MMG Limited Las Bambas did not include expressly an</w:t>
      </w:r>
      <w:r>
        <w:rPr>
          <w:rFonts w:ascii="Cambria" w:eastAsia="Cambria" w:hAnsi="Cambria" w:cs="Cambria"/>
          <w:b w:val="0"/>
          <w:i w:val="0"/>
          <w:strike w:val="0"/>
          <w:color w:val="auto"/>
          <w:sz w:val="24"/>
          <w:highlight w:val="none"/>
          <w:u w:val="none"/>
          <w:vertAlign w:val="baseline"/>
          <w:rtl w:val="0"/>
        </w:rPr>
        <w:t xml:space="preserve"> </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antimining</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 xml:space="preserve"> </w:t>
      </w:r>
      <w:r>
        <w:rPr>
          <w:rFonts w:ascii="Cambria" w:eastAsia="Cambria" w:hAnsi="Cambria" w:cs="Cambria"/>
          <w:b w:val="0"/>
          <w:i w:val="0"/>
          <w:strike w:val="0"/>
          <w:color w:val="auto"/>
          <w:sz w:val="24"/>
          <w:highlight w:val="none"/>
          <w:u w:val="none"/>
          <w:vertAlign w:val="baseline"/>
          <w:rtl w:val="0"/>
        </w:rPr>
        <w:t>claim -as in Cajamarca and Cotopaxi- its direct target is the imperialist mining company, and indeed the magnitude of the repression executed to secure the interests of China’s mining bourgeoisie confirms the disposition of the armed forces to serve in shared imperialism conditions to guarantee the MMG mining operations by militarism. Historical boundaries for imperialist mining militarism at the breakdown meantime of Sino-American shared imperialism: The antimining indigenous-cholo movement struggles against the Atico Canadian Mining in Cotopaxi, Ecuador The constitution of the antimining national front of Ecuador (Frente Nacional Antiminero - FNA), evidences the outcome of the antimining contention scale shift process in its conjunction with the processes of polarization and identity formation. The level of coordination of the antimining struggles is higher and advanced than twenty years ago, the performances of struggles were emulated and adapted with success. Recently, only a few months ago during March, 2024, the Atico Canadian Mining attempted to pass an illegal socioenvironmental consultation as legitimate to claim the exploration of the La Plata project surrounding the indigenous-cholo communities of Las Pampas, Palo Quemado, Galápagos, La Florida in Sigchos, province of Cotopaxi. Peasant producers of the best panela of the world and some of the better cattles of Ecuador opposed firmly to the militarized celebration of an ilegal and ilegitimate socio-environmetal consultation. In a context in which the debate of the law instrument for the national regulation of the Consultation and Free, Prior and Informed Consent (FPIC) as an international instrument adopted by the Constitution of Ecuador of 2008, in complete correspondence with the recognition of the rights indigenous peoples and nationalities of the Ecuador, as an historical reform. The indigenous movement most important confederation of Ecuador, the CONAIE, as a member organization of the National Antimining Front of Ecuador (FNA), participated in the celebration of a permanent mobilization assembly of the FNA at the national scale, where the mining projects are located, in strategic solidarity with the antimining struggle campaign developing during those days in Sigchos, Cotopaxi, that left hundreds of peasants and activists injured, and Mesías Robayo Masapanta in coma after receiving a shot in the face. The social formation which is developing with the constitution of the antimining political identity of the indigenous-cholo peasantry in historical resistance is a relational product of the political economy dynamics of imperialism and the perpetual militarism of its colonial policy over our territories. By which its antisystemic definition was historically, materially built, and correctly interpreted for their own interest as a world antagonist class challenging the top-layer economic formations of the world-economy of shared imperialism. Which we identify as inter-</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national</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 xml:space="preserve"> </w:t>
      </w:r>
      <w:r>
        <w:rPr>
          <w:rFonts w:ascii="Cambria" w:eastAsia="Cambria" w:hAnsi="Cambria" w:cs="Cambria"/>
          <w:b w:val="0"/>
          <w:i w:val="0"/>
          <w:strike w:val="0"/>
          <w:color w:val="auto"/>
          <w:sz w:val="24"/>
          <w:highlight w:val="none"/>
          <w:u w:val="none"/>
          <w:vertAlign w:val="baseline"/>
          <w:rtl w:val="0"/>
        </w:rPr>
        <w:t>bank state capitalist trusts in contention, with respective differentiated trajectories of concentration and centralization, most clearly emphasized at the present time in the Sino-American gradual rupture by horizontal decentralization, and its consequences over the decline of the rate of surplus-vale due to a relocation of an expected amount of variable capital to other</w:t>
      </w:r>
      <w:r>
        <w:rPr>
          <w:rFonts w:ascii="Cambria" w:eastAsia="Cambria" w:hAnsi="Cambria" w:cs="Cambria"/>
          <w:b w:val="0"/>
          <w:i w:val="0"/>
          <w:strike w:val="0"/>
          <w:color w:val="auto"/>
          <w:sz w:val="24"/>
          <w:highlight w:val="none"/>
          <w:u w:val="none"/>
          <w:vertAlign w:val="baseline"/>
          <w:rtl w:val="0"/>
        </w:rPr>
        <w:t xml:space="preserve"> </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national-economies</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 The use of shields to contest the bullets as an human act of life defense when unarmed masses of peasants, students, workers, are being shot by the army which is supposed to protect the life of the people but instead guarantee by militarism the reproduction of the finance capital beared by the top-layer of the international bank state capitalists. In which hands is accumulated the profit of mining capital production and circulation. The monopolist tendency and the fierce competition over the most important branch of industry in the world-economy of imperialism are the forces with which the process of horizontal capital decentralization of the Sino-American finance capital develops the new imperialist wars of re-partition to a higher point. Under conditions of shared imperialism, the competition between China and U.S. inter-</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national</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 xml:space="preserve"> </w:t>
      </w:r>
      <w:r>
        <w:rPr>
          <w:rFonts w:ascii="Cambria" w:eastAsia="Cambria" w:hAnsi="Cambria" w:cs="Cambria"/>
          <w:b w:val="0"/>
          <w:i w:val="0"/>
          <w:strike w:val="0"/>
          <w:color w:val="auto"/>
          <w:sz w:val="24"/>
          <w:highlight w:val="none"/>
          <w:u w:val="none"/>
          <w:vertAlign w:val="baseline"/>
          <w:rtl w:val="0"/>
        </w:rPr>
        <w:t>bank state capitalists trusts are evidenced in the participation of transnational enterprises as Atico Canadian Mining, a result of vertical centralization by absorption of the canadian Toachi Mining Company, to attempt the exportation of gold and copper commodity-capital produced in Cotopaxi (Ecuador) to the Quigdao Port in China. The risk factors considered for March report of Atico Canadian Mining expressed:</w:t>
      </w:r>
      <w:r>
        <w:rPr>
          <w:rFonts w:ascii="Cambria" w:eastAsia="Cambria" w:hAnsi="Cambria" w:cs="Cambria"/>
          <w:b w:val="0"/>
          <w:i w:val="0"/>
          <w:strike w:val="0"/>
          <w:color w:val="auto"/>
          <w:sz w:val="24"/>
          <w:highlight w:val="none"/>
          <w:u w:val="none"/>
          <w:vertAlign w:val="baseline"/>
          <w:rtl w:val="0"/>
        </w:rPr>
        <w:t xml:space="preserve"> </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[t]he Company is exposed to many risks in conducting its business, including but not limited to metal price risk as the Company derive its revenue from the sale of copper, gold, and silver; credit risk in the normal course of business; currency risk as the Company reports its financial statements in US dollars whereas the Company operates in jurisdictions that conducts its business in other currencies</w:t>
      </w:r>
      <w:r>
        <w:rPr>
          <w:rFonts w:ascii="Cambria" w:eastAsia="Cambria" w:hAnsi="Cambria" w:cs="Cambria"/>
          <w:b w:val="0"/>
          <w:i w:val="0"/>
          <w:strike w:val="0"/>
          <w:color w:val="auto"/>
          <w:sz w:val="24"/>
          <w:highlight w:val="none"/>
          <w:u w:val="none"/>
          <w:vertAlign w:val="baseline"/>
          <w:rtl w:val="0"/>
        </w:rPr>
        <w:t>”</w:t>
      </w:r>
      <w:r>
        <w:rPr>
          <w:rFonts w:ascii="Cambria" w:eastAsia="Cambria" w:hAnsi="Cambria" w:cs="Cambria"/>
          <w:b w:val="0"/>
          <w:i w:val="0"/>
          <w:strike w:val="0"/>
          <w:color w:val="auto"/>
          <w:sz w:val="24"/>
          <w:highlight w:val="none"/>
          <w:u w:val="none"/>
          <w:vertAlign w:val="baseline"/>
          <w:rtl w:val="0"/>
        </w:rPr>
        <w:t xml:space="preserve"> </w:t>
      </w:r>
      <w:r>
        <w:rPr>
          <w:rFonts w:ascii="Cambria" w:eastAsia="Cambria" w:hAnsi="Cambria" w:cs="Cambria"/>
          <w:b w:val="0"/>
          <w:i w:val="0"/>
          <w:strike w:val="0"/>
          <w:color w:val="auto"/>
          <w:sz w:val="24"/>
          <w:highlight w:val="none"/>
          <w:u w:val="none"/>
          <w:vertAlign w:val="baseline"/>
          <w:rtl w:val="0"/>
        </w:rPr>
        <w:t>(SGS Canada 2019). Recognizing indeed, the profits are being severely affected by the currency depreciation of the U.S. dollar, as the mining commodity-capital will be in surplus-value form produced with advanced capital in the currency of U.S. dollar, as the operations are located in Ecuador. Furthermore, the credit risk augmented as the finance capital circulating in the operations of the Atico Canadian Mining in Ecuador should be beared by the China bank state capitalist trust for accumulation of their deficit in gold-money-capital compared to the U.S. total gold-capital reserves monetized expression in the hegemonic U.S. dollar currency (Figure 3). Finally, but not last, the gold and copper price are gradually stopping to grow, due to the incremental tension between Beijing and Washington, due to the Palestine-Israel war, the gradual positioning of Russia over Ukraine, the U.K. drop in supporting military Israel genocide over Palestine civilian, the Iran effective military step-in the Palestine-Israel war, the increasing tension in Taiwan and the shameful electoral politics of the most advanced democracy of the world, support the concerns of Atico Canadian Mining. Its not an isolated sight or movement, is happening at the same time that the horizontal decentralization of the Sino-American finance capital is impacting the profit-seeking decisions of the layers of economic formations above as NVIDIA or Tesla.</w:t>
      </w:r>
    </w:p>
    <w:p w:rsidR="00A77B3E">
      <w:pPr>
        <w:tabs>
          <w:tab w:val="left" w:pos="0"/>
        </w:tabs>
        <w:bidi w:val="0"/>
        <w:spacing w:before="180" w:after="180" w:line="240" w:lineRule="auto"/>
        <w:ind w:left="0" w:right="0" w:firstLine="0"/>
        <w:jc w:val="left"/>
        <w:rPr>
          <w:rFonts w:ascii="Cambria" w:eastAsia="Cambria" w:hAnsi="Cambria" w:cs="Cambria"/>
          <w:b w:val="0"/>
          <w:i w:val="0"/>
          <w:strike w:val="0"/>
          <w:color w:val="auto"/>
          <w:sz w:val="24"/>
          <w:highlight w:val="none"/>
          <w:u w:val="none"/>
          <w:vertAlign w:val="baseline"/>
          <w:rtl w:val="0"/>
        </w:rPr>
      </w:pPr>
    </w:p>
    <w:sectPr>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