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69321" w14:textId="77777777" w:rsidR="00646C57" w:rsidRDefault="00000000">
      <w:pPr>
        <w:pStyle w:val="Ttulo"/>
      </w:pPr>
      <w:r>
        <w:t>Introduction</w:t>
      </w:r>
    </w:p>
    <w:p w14:paraId="6767281C" w14:textId="77777777" w:rsidR="00646C57" w:rsidRDefault="00000000">
      <w:pPr>
        <w:pStyle w:val="Author"/>
      </w:pPr>
      <w:r>
        <w:t>Walsh, Catherine E.; Mignolo, Walter D.; Segato, Rita</w:t>
      </w:r>
    </w:p>
    <w:p w14:paraId="7B7AB32E" w14:textId="77777777" w:rsidR="00646C57" w:rsidRDefault="00000000">
      <w:pPr>
        <w:pStyle w:val="Fecha"/>
      </w:pPr>
      <w:r>
        <w:t>2024-01-01</w:t>
      </w:r>
    </w:p>
    <w:p w14:paraId="2D38D2F7" w14:textId="77777777" w:rsidR="00646C57" w:rsidRDefault="00000000">
      <w:pPr>
        <w:pStyle w:val="FirstParagraph"/>
      </w:pPr>
      <w:r>
        <w:t xml:space="preserve">Walsh, Catherine E., Walter D. Mignolo, y Rita Segato. 2024. «Introduction». Pp. 1-31 en </w:t>
      </w:r>
      <w:r>
        <w:rPr>
          <w:i/>
          <w:iCs/>
        </w:rPr>
        <w:t>Aníbal Quijano: Foundational Essays on the Coloniality of Power</w:t>
      </w:r>
      <w:r>
        <w:t>, editado por W. D. Mignolo, R. Segato, y C. E. Walsh. Durham: Duke University Press.</w:t>
      </w:r>
      <w:r>
        <w:br/>
      </w:r>
      <w:hyperlink r:id="rId7">
        <w:r>
          <w:rPr>
            <w:rStyle w:val="Hipervnculo"/>
          </w:rPr>
          <w:t>online</w:t>
        </w:r>
      </w:hyperlink>
      <w:r>
        <w:t xml:space="preserve"> </w:t>
      </w:r>
      <w:hyperlink r:id="rId8">
        <w:r>
          <w:rPr>
            <w:rStyle w:val="Hipervnculo"/>
          </w:rPr>
          <w:t>local</w:t>
        </w:r>
      </w:hyperlink>
      <w:r>
        <w:t xml:space="preserve"> </w:t>
      </w:r>
      <w:hyperlink>
        <w:r>
          <w:rPr>
            <w:rStyle w:val="Hipervnculo"/>
          </w:rPr>
          <w:t>pdf</w:t>
        </w:r>
      </w:hyperlink>
    </w:p>
    <w:p w14:paraId="78020CE4" w14:textId="77777777" w:rsidR="00646C57" w:rsidRDefault="00000000">
      <w:pPr>
        <w:pStyle w:val="Ttulo3"/>
      </w:pPr>
      <w:bookmarkStart w:id="0" w:name="index"/>
      <w:r>
        <w:t>Index</w:t>
      </w:r>
    </w:p>
    <w:p w14:paraId="01B58BC1" w14:textId="77777777" w:rsidR="00646C57" w:rsidRDefault="00000000">
      <w:pPr>
        <w:pStyle w:val="FirstParagraph"/>
      </w:pPr>
      <w:r>
        <w:t>start-date:: 2024-01-01</w:t>
      </w:r>
      <w:r>
        <w:br/>
        <w:t>end-date::</w:t>
      </w:r>
      <w:r>
        <w:br/>
        <w:t>page-no:: 1</w:t>
      </w:r>
    </w:p>
    <w:p w14:paraId="2CBF2795" w14:textId="77777777" w:rsidR="00646C57" w:rsidRDefault="00000000">
      <w:pPr>
        <w:pStyle w:val="Ttulo3"/>
      </w:pPr>
      <w:bookmarkStart w:id="1" w:name="connections"/>
      <w:bookmarkEnd w:id="0"/>
      <w:r>
        <w:t>Connections</w:t>
      </w:r>
    </w:p>
    <w:p w14:paraId="3C5E4903" w14:textId="77777777" w:rsidR="00646C57" w:rsidRDefault="00000000">
      <w:pPr>
        <w:pStyle w:val="FirstParagraph"/>
      </w:pPr>
      <w:r>
        <w:t>comment::</w:t>
      </w:r>
    </w:p>
    <w:p w14:paraId="0823C652" w14:textId="77777777" w:rsidR="00646C57" w:rsidRDefault="00000000">
      <w:pPr>
        <w:pStyle w:val="Ttulo3"/>
      </w:pPr>
      <w:bookmarkStart w:id="2" w:name="note"/>
      <w:bookmarkEnd w:id="1"/>
      <w:r>
        <w:t>Note</w:t>
      </w:r>
    </w:p>
    <w:p w14:paraId="5F7BDD2D" w14:textId="77777777" w:rsidR="00646C57" w:rsidRDefault="00000000">
      <w:pPr>
        <w:pStyle w:val="Ttulo3"/>
      </w:pPr>
      <w:bookmarkStart w:id="3" w:name="imported-on-2024-07-23-428-pm"/>
      <w:bookmarkEnd w:id="2"/>
      <w:r>
        <w:t>Imported on 2024-07-23 4:28 pm</w:t>
      </w:r>
    </w:p>
    <w:p w14:paraId="2DE0F9B1" w14:textId="77777777" w:rsidR="00646C57" w:rsidRDefault="00000000">
      <w:pPr>
        <w:pStyle w:val="FirstParagraph"/>
      </w:pPr>
      <w:r>
        <w:rPr>
          <w:noProof/>
        </w:rPr>
        <w:drawing>
          <wp:inline distT="0" distB="0" distL="0" distR="0" wp14:anchorId="66877027" wp14:editId="74E6709D">
            <wp:extent cx="228600" cy="228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AD7B5D2" w14:textId="77777777" w:rsidR="00646C57" w:rsidRDefault="00000000">
      <w:pPr>
        <w:pStyle w:val="Textoindependiente"/>
      </w:pPr>
      <w:r>
        <w:t>Quote</w:t>
      </w:r>
    </w:p>
    <w:p w14:paraId="5E86BB0B" w14:textId="77777777" w:rsidR="00616562" w:rsidRDefault="00000000">
      <w:pPr>
        <w:pStyle w:val="Textoindependiente"/>
        <w:rPr>
          <w:rStyle w:val="Hipervnculo"/>
        </w:rPr>
      </w:pPr>
      <w:r w:rsidRPr="00616562">
        <w:rPr>
          <w:i/>
          <w:iCs/>
        </w:rPr>
        <w:t>Yet, as we argue here, this volume not only introduces Englishlanguage readers to Aníbal Quijano’s thought but also provides a fundamentally distinct lens for reading today’s moderncolonial worldsystem from its origins in the socalled periphery, that is, from South Amer i ca and the Global South.</w:t>
      </w:r>
      <w:r>
        <w:t xml:space="preserve"> </w:t>
      </w:r>
      <w:hyperlink r:id="rId10">
        <w:r>
          <w:rPr>
            <w:rStyle w:val="Hipervnculo"/>
          </w:rPr>
          <w:t>(p. 1)</w:t>
        </w:r>
      </w:hyperlink>
    </w:p>
    <w:p w14:paraId="30670DCF" w14:textId="54C32C48" w:rsidR="00646C57" w:rsidRDefault="00000000">
      <w:pPr>
        <w:pStyle w:val="Textoindependiente"/>
      </w:pPr>
      <w:r>
        <w:br/>
        <w:t>The approach of Quijano situated the formation of the modern world-system with the colonization of America.While this association was made before by Marx, when he treated colonization as a method of primitive/original accumulation for the world-scale expansion competition of mercantile capitals and the formation of an oligarchic financial bourgeoisie which hold the hegemony of the world-system in Europe until the last quarter of the XIX century.It's important to notice that in that point, 1885, Anbal Quijano first and then as well Agustn Cueva for Ecuador, previously recognized the Marxist periodization of imperialism to denote the monopolistic took over by the US imperialist bourgeoisie of the main capitalist enclaves of production in a pre-capitalist, semi-feudal, colonial, rather than semi-capitalist, Andean region.</w:t>
      </w:r>
    </w:p>
    <w:p w14:paraId="7C8993D7" w14:textId="77777777" w:rsidR="00646C57" w:rsidRDefault="00000000">
      <w:pPr>
        <w:pStyle w:val="Textoindependiente"/>
      </w:pPr>
      <w:r>
        <w:rPr>
          <w:noProof/>
        </w:rPr>
        <w:drawing>
          <wp:inline distT="0" distB="0" distL="0" distR="0" wp14:anchorId="477B3F2E" wp14:editId="5E33A332">
            <wp:extent cx="228600" cy="228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4F9908C" w14:textId="77777777" w:rsidR="00646C57" w:rsidRDefault="00000000">
      <w:pPr>
        <w:pStyle w:val="Textoindependiente"/>
      </w:pPr>
      <w:r>
        <w:lastRenderedPageBreak/>
        <w:t>Quote</w:t>
      </w:r>
    </w:p>
    <w:p w14:paraId="352B2500" w14:textId="77777777" w:rsidR="00646C57" w:rsidRDefault="00000000">
      <w:pPr>
        <w:pStyle w:val="Textoindependiente"/>
      </w:pPr>
      <w:r w:rsidRPr="00616562">
        <w:rPr>
          <w:i/>
          <w:iCs/>
        </w:rPr>
        <w:t>It was in sixteenthcentury “Amer i ca” that this model of power took form and established its global vocation. According to Quijano, in Amer i ca two historical pro cesses converged. One was the codifcation of the differences between conquerors and conquered in the idea of “race,” a supposedly dif fer ent biological structure that placed some in a natu ral situation of inferiority to the others</w:t>
      </w:r>
      <w:r>
        <w:t xml:space="preserve">. </w:t>
      </w:r>
      <w:hyperlink r:id="rId11">
        <w:r>
          <w:rPr>
            <w:rStyle w:val="Hipervnculo"/>
          </w:rPr>
          <w:t>(p. 2)</w:t>
        </w:r>
      </w:hyperlink>
    </w:p>
    <w:p w14:paraId="5337382E" w14:textId="77777777" w:rsidR="00646C57" w:rsidRDefault="00000000">
      <w:pPr>
        <w:pStyle w:val="Textoindependiente"/>
      </w:pPr>
      <w:r>
        <w:t>The most important aspect to recognize is that the socio-technology of race developed as part of the method of colonization, and is only over the conditions produced by the events of dispossession and genocide identified with the colonial world-scale division of labor, correspondent indeed to the formation of the colonial/modern-world-system in the XVI century.</w:t>
      </w:r>
    </w:p>
    <w:p w14:paraId="08732BFC" w14:textId="77777777" w:rsidR="00646C57" w:rsidRDefault="00000000">
      <w:pPr>
        <w:pStyle w:val="Textoindependiente"/>
      </w:pPr>
      <w:r>
        <w:rPr>
          <w:noProof/>
        </w:rPr>
        <w:drawing>
          <wp:inline distT="0" distB="0" distL="0" distR="0" wp14:anchorId="7E08AD0C" wp14:editId="2DE3972D">
            <wp:extent cx="228600" cy="228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56B0BE8" w14:textId="77777777" w:rsidR="00646C57" w:rsidRDefault="00000000">
      <w:pPr>
        <w:pStyle w:val="Textoindependiente"/>
      </w:pPr>
      <w:r>
        <w:t>Quote</w:t>
      </w:r>
    </w:p>
    <w:p w14:paraId="36B4A750" w14:textId="77777777" w:rsidR="00646C57" w:rsidRPr="00616562" w:rsidRDefault="00000000">
      <w:pPr>
        <w:pStyle w:val="Textoindependiente"/>
        <w:rPr>
          <w:i/>
          <w:iCs/>
        </w:rPr>
      </w:pPr>
      <w:r w:rsidRPr="00616562">
        <w:rPr>
          <w:i/>
          <w:iCs/>
        </w:rPr>
        <w:t xml:space="preserve">Both race and the division of labor remained structurally linked and mutually reinforcing. In this way, a systematic racial division of labor was imposed in which Western Europe became the central site for the control of the world market, the commodifcation of the labor force, and the establishment of raced assignments and relations of waged and nonwaged labor. </w:t>
      </w:r>
      <w:hyperlink r:id="rId12">
        <w:r w:rsidRPr="00616562">
          <w:rPr>
            <w:rStyle w:val="Hipervnculo"/>
            <w:i/>
            <w:iCs/>
          </w:rPr>
          <w:t>(p. 2)</w:t>
        </w:r>
      </w:hyperlink>
    </w:p>
    <w:p w14:paraId="4B836E58" w14:textId="77777777" w:rsidR="00646C57" w:rsidRDefault="00000000">
      <w:pPr>
        <w:pStyle w:val="Textoindependiente"/>
      </w:pPr>
      <w:r>
        <w:t>The international division of labor imposed by colonization implied the production of raw materials in the colonies by relations of production resultant from the hybrid application of the most historically effective methods of exploitation in the colonies. And the transformation of those raw materials in commodities for the consumption of the emergent bourgeoisies of Europe and for trade of silver with China. Maintaining that division of labor internationally allowed also the replacement of the relations of production of feudalism in Western Europe by relations of capitalist production, mainly the development of waged labor, the fragmentation of land under the control of the feudal rural classes and the formation of a regime of private-small property and state building in the centers of mercantile accumulation for Western Europe; and the regime of hacienda, servitude, slavery and non-monetary forms of labor exploitation in the colonies at a world-scale.</w:t>
      </w:r>
    </w:p>
    <w:p w14:paraId="0C2D0E59" w14:textId="77777777" w:rsidR="00646C57" w:rsidRDefault="00000000">
      <w:pPr>
        <w:pStyle w:val="Textoindependiente"/>
      </w:pPr>
      <w:r>
        <w:rPr>
          <w:noProof/>
        </w:rPr>
        <w:drawing>
          <wp:inline distT="0" distB="0" distL="0" distR="0" wp14:anchorId="0F2B6FE5" wp14:editId="10704FCE">
            <wp:extent cx="228600" cy="228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78C20C8" w14:textId="77777777" w:rsidR="00646C57" w:rsidRDefault="00000000">
      <w:pPr>
        <w:pStyle w:val="Textoindependiente"/>
      </w:pPr>
      <w:r>
        <w:t>Quote</w:t>
      </w:r>
    </w:p>
    <w:p w14:paraId="15D27831" w14:textId="77777777" w:rsidR="00646C57" w:rsidRPr="00616562" w:rsidRDefault="00000000">
      <w:pPr>
        <w:pStyle w:val="Textoindependiente"/>
        <w:rPr>
          <w:i/>
          <w:iCs/>
        </w:rPr>
      </w:pPr>
      <w:r w:rsidRPr="00616562">
        <w:rPr>
          <w:i/>
          <w:iCs/>
        </w:rPr>
        <w:t xml:space="preserve">Tat these ties frst took shape in the Amer i cas is impor tant for not only understanding the foundational relation today of “Latin” Amer i ca in the globe but also comprehending the signifcance of colonialism and coloniality in the organization, establishment, and continuance of hegemonic global power. Tis relation and signifcance are, without a doubt, crucial today for all who strug gle against this power and for building </w:t>
      </w:r>
      <w:proofErr w:type="gramStart"/>
      <w:r w:rsidRPr="00616562">
        <w:rPr>
          <w:i/>
          <w:iCs/>
        </w:rPr>
        <w:t>an other</w:t>
      </w:r>
      <w:proofErr w:type="gramEnd"/>
      <w:r w:rsidRPr="00616562">
        <w:rPr>
          <w:i/>
          <w:iCs/>
        </w:rPr>
        <w:t xml:space="preserve"> wise of knowledge, existence, and life. </w:t>
      </w:r>
      <w:hyperlink r:id="rId13">
        <w:r w:rsidRPr="00616562">
          <w:rPr>
            <w:rStyle w:val="Hipervnculo"/>
            <w:i/>
            <w:iCs/>
          </w:rPr>
          <w:t>(p. 3)</w:t>
        </w:r>
      </w:hyperlink>
    </w:p>
    <w:p w14:paraId="4659B9FB" w14:textId="77777777" w:rsidR="00646C57" w:rsidRDefault="00000000">
      <w:pPr>
        <w:pStyle w:val="Textoindependiente"/>
      </w:pPr>
      <w:r>
        <w:lastRenderedPageBreak/>
        <w:t xml:space="preserve">Coloniality in that sense is distinct from the colonial, the first denotes the persistence of the significance of the foundational, formative, and </w:t>
      </w:r>
      <w:proofErr w:type="gramStart"/>
      <w:r>
        <w:t>also</w:t>
      </w:r>
      <w:proofErr w:type="gramEnd"/>
      <w:r>
        <w:t xml:space="preserve"> I will argue metabolic processes which historically maintain the reproduction of the modern-colonial world-system, and the modern capitalist world-economy, as the production and circulation of gold mining capital.</w:t>
      </w:r>
    </w:p>
    <w:p w14:paraId="7B40A547" w14:textId="77777777" w:rsidR="00646C57" w:rsidRDefault="00000000">
      <w:pPr>
        <w:pStyle w:val="Textoindependiente"/>
      </w:pPr>
      <w:r>
        <w:rPr>
          <w:noProof/>
        </w:rPr>
        <w:drawing>
          <wp:inline distT="0" distB="0" distL="0" distR="0" wp14:anchorId="3FB23A5F" wp14:editId="3376329E">
            <wp:extent cx="228600" cy="228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A117F7D" w14:textId="77777777" w:rsidR="00646C57" w:rsidRDefault="00000000">
      <w:pPr>
        <w:pStyle w:val="Textoindependiente"/>
      </w:pPr>
      <w:r>
        <w:t>Quote</w:t>
      </w:r>
    </w:p>
    <w:p w14:paraId="0C54D16E" w14:textId="77777777" w:rsidR="00646C57" w:rsidRPr="00616562" w:rsidRDefault="00000000">
      <w:pPr>
        <w:pStyle w:val="Textoindependiente"/>
        <w:rPr>
          <w:i/>
          <w:iCs/>
        </w:rPr>
      </w:pPr>
      <w:r w:rsidRPr="00616562">
        <w:rPr>
          <w:i/>
          <w:iCs/>
        </w:rPr>
        <w:t xml:space="preserve">In his analy sis of the idea of “race” as the basis of social classifcation, social domination, colonial relations, and new historical social identities in Amer i ca, Quijano evidences the invention of the term indio, meaning “Indian,” as a racialized, homogenous categorization. With the imposition of “Indian” as a new identity, the colonial power aimed to erase millennial cultures, languages, cosmologies, and knowledges as well as forms of collective organization, governance, and existence tied to the land. “Indian” racialized, inferiorized, objectifed, negated, grouped, dispossessed, and controlled Native peoples, marking the colonial difference in “Latin” Ameri ca, in settlercolonial nations such as Canada and the United States, and later in other parts of the world. </w:t>
      </w:r>
      <w:hyperlink r:id="rId14">
        <w:r w:rsidRPr="00616562">
          <w:rPr>
            <w:rStyle w:val="Hipervnculo"/>
            <w:i/>
            <w:iCs/>
          </w:rPr>
          <w:t>(p. 3)</w:t>
        </w:r>
      </w:hyperlink>
    </w:p>
    <w:p w14:paraId="2CF3158B" w14:textId="77777777" w:rsidR="00646C57" w:rsidRDefault="00000000">
      <w:pPr>
        <w:pStyle w:val="Textoindependiente"/>
      </w:pPr>
      <w:r>
        <w:t>The constitution of the new historical social identity which give birth to modernity is the category of indio.In complement to the bounded definition of the indio as the racialized, inferiorized, objectified, negated, and classified as dispossesed and dominated, developed the constitution of the capitalist world-economy and its subject self-alienated by the dehumanization of the "indios": the capitalists, the bearers of money, the financial oligarch bourgeoisies.</w:t>
      </w:r>
    </w:p>
    <w:p w14:paraId="048E5243" w14:textId="77777777" w:rsidR="00646C57" w:rsidRDefault="00000000">
      <w:pPr>
        <w:pStyle w:val="Textoindependiente"/>
      </w:pPr>
      <w:r>
        <w:rPr>
          <w:noProof/>
        </w:rPr>
        <w:drawing>
          <wp:inline distT="0" distB="0" distL="0" distR="0" wp14:anchorId="5880A4A6" wp14:editId="5A39588F">
            <wp:extent cx="228600" cy="228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2F682DE" w14:textId="77777777" w:rsidR="00646C57" w:rsidRDefault="00000000">
      <w:pPr>
        <w:pStyle w:val="Textoindependiente"/>
      </w:pPr>
      <w:r>
        <w:t>Quote</w:t>
      </w:r>
    </w:p>
    <w:p w14:paraId="26077723" w14:textId="77777777" w:rsidR="00646C57" w:rsidRPr="00616562" w:rsidRDefault="00000000">
      <w:pPr>
        <w:pStyle w:val="Textoindependiente"/>
        <w:rPr>
          <w:i/>
          <w:iCs/>
        </w:rPr>
      </w:pPr>
      <w:r w:rsidRPr="00616562">
        <w:rPr>
          <w:i/>
          <w:iCs/>
        </w:rPr>
        <w:t xml:space="preserve">fve centuries ago, has been hegemonic worldwide since the eigh teenth century, enabled and further consolidated by the nationstate system, “a private system of control over collective authority, as an exclusive attribute of the colonizers, and thus of </w:t>
      </w:r>
      <w:proofErr w:type="gramStart"/>
      <w:r w:rsidRPr="00616562">
        <w:rPr>
          <w:i/>
          <w:iCs/>
        </w:rPr>
        <w:t>‘ Europeans</w:t>
      </w:r>
      <w:proofErr w:type="gramEnd"/>
      <w:r w:rsidRPr="00616562">
        <w:rPr>
          <w:i/>
          <w:iCs/>
        </w:rPr>
        <w:t xml:space="preserve">’ or ‘whites.’ ”6 ”6 </w:t>
      </w:r>
      <w:hyperlink r:id="rId15">
        <w:r w:rsidRPr="00616562">
          <w:rPr>
            <w:rStyle w:val="Hipervnculo"/>
            <w:i/>
            <w:iCs/>
          </w:rPr>
          <w:t>(p. 4)</w:t>
        </w:r>
      </w:hyperlink>
    </w:p>
    <w:p w14:paraId="07723031" w14:textId="77777777" w:rsidR="00646C57" w:rsidRDefault="00000000">
      <w:pPr>
        <w:pStyle w:val="Textoindependiente"/>
      </w:pPr>
      <w:r>
        <w:t xml:space="preserve">The conceptualization of a nation-state system, as "a private system of collective authority, as an exclusive attribute of the colonizers, </w:t>
      </w:r>
      <w:proofErr w:type="gramStart"/>
      <w:r>
        <w:t>an</w:t>
      </w:r>
      <w:proofErr w:type="gramEnd"/>
      <w:r>
        <w:t xml:space="preserve"> thus of Europeans or whites", is also consistent in the notion of feudal or medieval system as: "consisted of chains of lord-vassal relationships, based on an amalgam of conditional property and private authority" (Arrighi 1994, 31).</w:t>
      </w:r>
    </w:p>
    <w:p w14:paraId="42AF7D4D" w14:textId="77777777" w:rsidR="00646C57" w:rsidRDefault="00000000">
      <w:pPr>
        <w:pStyle w:val="Textoindependiente"/>
      </w:pPr>
      <w:r>
        <w:rPr>
          <w:noProof/>
        </w:rPr>
        <w:drawing>
          <wp:inline distT="0" distB="0" distL="0" distR="0" wp14:anchorId="65074123" wp14:editId="625AB7BA">
            <wp:extent cx="228600" cy="2286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166C0F9" w14:textId="77777777" w:rsidR="00646C57" w:rsidRDefault="00000000">
      <w:pPr>
        <w:pStyle w:val="Textoindependiente"/>
      </w:pPr>
      <w:r>
        <w:t>Quote</w:t>
      </w:r>
    </w:p>
    <w:p w14:paraId="3E05EDAB" w14:textId="77777777" w:rsidR="00646C57" w:rsidRPr="00616562" w:rsidRDefault="00000000">
      <w:pPr>
        <w:pStyle w:val="Textoindependiente"/>
        <w:rPr>
          <w:i/>
          <w:iCs/>
        </w:rPr>
      </w:pPr>
      <w:r w:rsidRPr="00616562">
        <w:rPr>
          <w:i/>
          <w:iCs/>
        </w:rPr>
        <w:t xml:space="preserve">As Native peoples know all too well, dispossession and genocide, along with capture, cooptation, and individuation (including through inclusionbased policies) continue to characterize the </w:t>
      </w:r>
      <w:proofErr w:type="gramStart"/>
      <w:r w:rsidRPr="00616562">
        <w:rPr>
          <w:i/>
          <w:iCs/>
        </w:rPr>
        <w:t>pre sent</w:t>
      </w:r>
      <w:proofErr w:type="gramEnd"/>
      <w:r w:rsidRPr="00616562">
        <w:rPr>
          <w:i/>
          <w:iCs/>
        </w:rPr>
        <w:t xml:space="preserve">. </w:t>
      </w:r>
      <w:hyperlink r:id="rId16">
        <w:r w:rsidRPr="00616562">
          <w:rPr>
            <w:rStyle w:val="Hipervnculo"/>
            <w:i/>
            <w:iCs/>
          </w:rPr>
          <w:t>(p. 4)</w:t>
        </w:r>
      </w:hyperlink>
    </w:p>
    <w:p w14:paraId="6C644835" w14:textId="71C27C9F" w:rsidR="00646C57" w:rsidRDefault="00000000" w:rsidP="00616562">
      <w:pPr>
        <w:pStyle w:val="Textoindependiente"/>
      </w:pPr>
      <w:r>
        <w:lastRenderedPageBreak/>
        <w:t xml:space="preserve">This is a feature of the concept of coloniality that is a proper contribution of Quijano, who is also re-vindicating this idea of Maritegui of the persistence of certain aspects of the indigenous community along the process of development of capitalism since colonization. The persistence of colonial features of the relations of production in combined development in subsumption under the expansion of capitalist relations of </w:t>
      </w:r>
      <w:proofErr w:type="gramStart"/>
      <w:r>
        <w:t>production.This</w:t>
      </w:r>
      <w:proofErr w:type="gramEnd"/>
      <w:r>
        <w:t xml:space="preserve"> aspect of combined unequal development of capitalism is also consistent with the analysis of the international division of labor at a world-scale, as it </w:t>
      </w:r>
    </w:p>
    <w:p w14:paraId="5E330659" w14:textId="77777777" w:rsidR="00646C57" w:rsidRDefault="00000000">
      <w:pPr>
        <w:pStyle w:val="Textoindependiente"/>
      </w:pPr>
      <w:r>
        <w:t>The persistent systematical dispossession and genocide of "indigenous" as a category of negative abstract identity realizes the sublimation of the "white" as superior. It's by the mechanisms of pure militarism that the dispossession and genocide as features of colonization created the racialized class structure of the modern capitalist world-economy and its modern world-system. That is the dialectic movement of the concept of race.</w:t>
      </w:r>
      <w:bookmarkEnd w:id="3"/>
    </w:p>
    <w:sectPr w:rsidR="00646C5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C45145" w14:textId="77777777" w:rsidR="0046492C" w:rsidRDefault="0046492C">
      <w:pPr>
        <w:spacing w:after="0"/>
      </w:pPr>
      <w:r>
        <w:separator/>
      </w:r>
    </w:p>
  </w:endnote>
  <w:endnote w:type="continuationSeparator" w:id="0">
    <w:p w14:paraId="7DB2E139" w14:textId="77777777" w:rsidR="0046492C" w:rsidRDefault="004649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E2B42" w14:textId="77777777" w:rsidR="0046492C" w:rsidRDefault="0046492C">
      <w:r>
        <w:separator/>
      </w:r>
    </w:p>
  </w:footnote>
  <w:footnote w:type="continuationSeparator" w:id="0">
    <w:p w14:paraId="32DC26EF" w14:textId="77777777" w:rsidR="0046492C" w:rsidRDefault="00464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888AD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0193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C57"/>
    <w:rsid w:val="0046492C"/>
    <w:rsid w:val="00616562"/>
    <w:rsid w:val="00646C57"/>
    <w:rsid w:val="00755D94"/>
    <w:rsid w:val="00C63C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181A"/>
  <w15:docId w15:val="{37A37FFD-1FE4-4934-8405-0FD65750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zotero://select/library/items/3E9AS8HE" TargetMode="External"/><Relationship Id="rId13" Type="http://schemas.openxmlformats.org/officeDocument/2006/relationships/hyperlink" Target="zotero://open-pdf/library/items/I5HC5UG2?page=3&amp;annotation=highlight-p3x74y3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zotero.org/users/4081719/items/3E9AS8HE" TargetMode="External"/><Relationship Id="rId12" Type="http://schemas.openxmlformats.org/officeDocument/2006/relationships/hyperlink" Target="zotero://open-pdf/library/items/I5HC5UG2?page=2&amp;annotation=highlight-p2x62y12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zotero://open-pdf/library/items/I5HC5UG2?page=4&amp;annotation=highlight-p4x62y45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zotero://open-pdf/library/items/I5HC5UG2?page=2&amp;annotation=highlight-p2x62y357" TargetMode="External"/><Relationship Id="rId5" Type="http://schemas.openxmlformats.org/officeDocument/2006/relationships/footnotes" Target="footnotes.xml"/><Relationship Id="rId15" Type="http://schemas.openxmlformats.org/officeDocument/2006/relationships/hyperlink" Target="zotero://open-pdf/library/items/I5HC5UG2?page=4&amp;annotation=highlight-p4x62y551" TargetMode="External"/><Relationship Id="rId10" Type="http://schemas.openxmlformats.org/officeDocument/2006/relationships/hyperlink" Target="zotero://open-pdf/library/items/I5HC5UG2?page=1&amp;annotation=highlight-p1x74y27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zotero://open-pdf/library/items/I5HC5UG2?page=3&amp;annotation=highlight-p3x74y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Pages>
  <Words>1344</Words>
  <Characters>7392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Introduction</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Walsh, Catherine E.; Mignolo, Walter D.; Segato, Rita</dc:creator>
  <cp:keywords/>
  <cp:lastModifiedBy>51964</cp:lastModifiedBy>
  <cp:revision>3</cp:revision>
  <dcterms:created xsi:type="dcterms:W3CDTF">2024-07-23T23:32:00Z</dcterms:created>
  <dcterms:modified xsi:type="dcterms:W3CDTF">2024-07-24T01:55:00Z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key">
    <vt:lpwstr>WalshMignoloSegato+2024+1+31</vt:lpwstr>
  </property>
  <property fmtid="{D5CDD505-2E9C-101B-9397-08002B2CF9AE}" pid="3" name="cssclass">
    <vt:lpwstr>research-note</vt:lpwstr>
  </property>
  <property fmtid="{D5CDD505-2E9C-101B-9397-08002B2CF9AE}" pid="4" name="date">
    <vt:lpwstr>2024-01-01</vt:lpwstr>
  </property>
  <property fmtid="{D5CDD505-2E9C-101B-9397-08002B2CF9AE}" pid="5" name="editor">
    <vt:lpwstr>Mignolo, Walter D.; Segato, Rita; Walsh, Catherine E.</vt:lpwstr>
  </property>
  <property fmtid="{D5CDD505-2E9C-101B-9397-08002B2CF9AE}" pid="6" name="type">
    <vt:lpwstr>bookSection</vt:lpwstr>
  </property>
</Properties>
</file>