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0AC2F" w14:textId="77777777" w:rsidR="00525EF8" w:rsidRDefault="00525EF8">
      <w:pPr>
        <w:rPr>
          <w:rFonts w:ascii="MS Gothic" w:eastAsia="MS Gothic" w:hAnsi="MS Gothic" w:cs="MS Gothic"/>
          <w:lang/>
        </w:rPr>
      </w:pPr>
      <w:r w:rsidRPr="00525EF8">
        <w:rPr>
          <w:lang/>
        </w:rPr>
        <w:t>Anti-Gold-Mining Movements and Capital Circulation</w:t>
      </w:r>
      <w:r w:rsidRPr="00525EF8">
        <w:rPr>
          <w:rFonts w:ascii="MS Gothic" w:eastAsia="MS Gothic" w:hAnsi="MS Gothic" w:cs="MS Gothic" w:hint="eastAsia"/>
          <w:lang/>
        </w:rPr>
        <w:t>  </w:t>
      </w:r>
      <w:r w:rsidRPr="00525EF8">
        <w:rPr>
          <w:lang/>
        </w:rPr>
        <w:t>The Emergence of Anti-Gold-Mining Movements</w:t>
      </w:r>
      <w:r w:rsidRPr="00525EF8">
        <w:rPr>
          <w:rFonts w:ascii="MS Gothic" w:eastAsia="MS Gothic" w:hAnsi="MS Gothic" w:cs="MS Gothic" w:hint="eastAsia"/>
          <w:lang/>
        </w:rPr>
        <w:t>  </w:t>
      </w:r>
    </w:p>
    <w:p w14:paraId="0B00D4DE" w14:textId="10B2DCE3" w:rsidR="00360FA5" w:rsidRDefault="00525EF8">
      <w:r w:rsidRPr="00525EF8">
        <w:rPr>
          <w:lang/>
        </w:rPr>
        <w:t>Anti-gold-mining movements have emerged as a significant response to the environmental, social, and economic impacts of gold extraction. These movements are often rooted in local communities that bear the brunt of mining activities, which can lead to environmental degradation, displacement, and social disruption. The struggles against gold mining are not merely localized protests; they represent a broader critique of the capitalist system that prioritizes profit over people and the environment</w:t>
      </w:r>
      <w:hyperlink r:id="rId4" w:history="1">
        <w:r w:rsidRPr="00525EF8">
          <w:rPr>
            <w:rStyle w:val="Hyperlink"/>
            <w:b/>
            <w:lang/>
          </w:rPr>
          <w:t>[1]</w:t>
        </w:r>
      </w:hyperlink>
      <w:hyperlink r:id="rId5" w:history="1">
        <w:r w:rsidRPr="00525EF8">
          <w:rPr>
            <w:rStyle w:val="Hyperlink"/>
            <w:b/>
            <w:lang/>
          </w:rPr>
          <w:t>[2]</w:t>
        </w:r>
      </w:hyperlink>
      <w:r w:rsidRPr="00525EF8">
        <w:rPr>
          <w:lang/>
        </w:rPr>
        <w:t>.</w:t>
      </w:r>
      <w:r w:rsidRPr="00525EF8">
        <w:rPr>
          <w:rFonts w:ascii="MS Gothic" w:eastAsia="MS Gothic" w:hAnsi="MS Gothic" w:cs="MS Gothic" w:hint="eastAsia"/>
          <w:lang/>
        </w:rPr>
        <w:t>  </w:t>
      </w:r>
      <w:r w:rsidRPr="00525EF8">
        <w:rPr>
          <w:lang/>
        </w:rPr>
        <w:t>Historically, the appropriation of gold has been tied to colonial practices and the exploitation of indigenous populations. The extraction of gold has often been accompanied by violence and dispossession, as seen during the colonial era when European powers sought to control gold-rich territories</w:t>
      </w:r>
      <w:hyperlink r:id="rId6" w:history="1">
        <w:r w:rsidRPr="00525EF8">
          <w:rPr>
            <w:rStyle w:val="Hyperlink"/>
            <w:b/>
            <w:lang/>
          </w:rPr>
          <w:t>[3]</w:t>
        </w:r>
      </w:hyperlink>
      <w:hyperlink r:id="rId7" w:history="1">
        <w:r w:rsidRPr="00525EF8">
          <w:rPr>
            <w:rStyle w:val="Hyperlink"/>
            <w:b/>
            <w:lang/>
          </w:rPr>
          <w:t>[4]</w:t>
        </w:r>
      </w:hyperlink>
      <w:r w:rsidRPr="00525EF8">
        <w:rPr>
          <w:lang/>
        </w:rPr>
        <w:t>. This legacy continues to inform contemporary anti-gold-mining movements, which seek to reclaim agency over local resources and challenge the capitalist structures that facilitate exploitation</w:t>
      </w:r>
      <w:hyperlink r:id="rId8" w:history="1">
        <w:r w:rsidRPr="00525EF8">
          <w:rPr>
            <w:rStyle w:val="Hyperlink"/>
            <w:b/>
            <w:lang/>
          </w:rPr>
          <w:t>[5]</w:t>
        </w:r>
      </w:hyperlink>
      <w:hyperlink r:id="rId9" w:history="1">
        <w:r w:rsidRPr="00525EF8">
          <w:rPr>
            <w:rStyle w:val="Hyperlink"/>
            <w:b/>
            <w:lang/>
          </w:rPr>
          <w:t>[6]</w:t>
        </w:r>
      </w:hyperlink>
      <w:r w:rsidRPr="00525EF8">
        <w:rPr>
          <w:lang/>
        </w:rPr>
        <w:t>.</w:t>
      </w:r>
      <w:r w:rsidRPr="00525EF8">
        <w:rPr>
          <w:rFonts w:ascii="MS Gothic" w:eastAsia="MS Gothic" w:hAnsi="MS Gothic" w:cs="MS Gothic" w:hint="eastAsia"/>
          <w:lang/>
        </w:rPr>
        <w:t>  </w:t>
      </w:r>
      <w:r w:rsidRPr="00525EF8">
        <w:rPr>
          <w:lang/>
        </w:rPr>
        <w:t>The Impact of Anti-Gold-Mining Movements on Capital Circulation</w:t>
      </w:r>
      <w:r w:rsidRPr="00525EF8">
        <w:rPr>
          <w:rFonts w:ascii="MS Gothic" w:eastAsia="MS Gothic" w:hAnsi="MS Gothic" w:cs="MS Gothic" w:hint="eastAsia"/>
          <w:lang/>
        </w:rPr>
        <w:t>  </w:t>
      </w:r>
      <w:r w:rsidRPr="00525EF8">
        <w:rPr>
          <w:lang/>
        </w:rPr>
        <w:t>The rise of anti-gold-mining movements has profound implications for capital circulation. These movements disrupt the flow of capital by challenging the legitimacy of gold extraction and the economic systems that support it. When communities resist mining operations, they create obstacles to the extraction process, which can lead to interruptions in the velocity of capital circulation</w:t>
      </w:r>
      <w:hyperlink r:id="rId10" w:history="1">
        <w:r w:rsidRPr="00525EF8">
          <w:rPr>
            <w:rStyle w:val="Hyperlink"/>
            <w:b/>
            <w:lang/>
          </w:rPr>
          <w:t>[7]</w:t>
        </w:r>
      </w:hyperlink>
      <w:hyperlink r:id="rId11" w:history="1">
        <w:r w:rsidRPr="00525EF8">
          <w:rPr>
            <w:rStyle w:val="Hyperlink"/>
            <w:b/>
            <w:lang/>
          </w:rPr>
          <w:t>[8]</w:t>
        </w:r>
      </w:hyperlink>
      <w:r w:rsidRPr="00525EF8">
        <w:rPr>
          <w:lang/>
        </w:rPr>
        <w:t xml:space="preserve">. </w:t>
      </w:r>
      <w:r w:rsidRPr="00525EF8">
        <w:rPr>
          <w:rFonts w:ascii="MS Gothic" w:eastAsia="MS Gothic" w:hAnsi="MS Gothic" w:cs="MS Gothic" w:hint="eastAsia"/>
          <w:lang/>
        </w:rPr>
        <w:t>  </w:t>
      </w:r>
      <w:r w:rsidRPr="00525EF8">
        <w:rPr>
          <w:lang/>
        </w:rPr>
        <w:t>As Marx noted, the circuit of capital (M-C-M') relies on the smooth transformation of commodities into money and back into commodities. Anti-gold-mining struggles can obstruct this circuit by preventing the necessary conversion of gold into capital. This obstruction can manifest in various ways, including legal battles, protests, and direct action against mining companies</w:t>
      </w:r>
      <w:hyperlink r:id="rId12" w:history="1">
        <w:r w:rsidRPr="00525EF8">
          <w:rPr>
            <w:rStyle w:val="Hyperlink"/>
            <w:b/>
            <w:lang/>
          </w:rPr>
          <w:t>[9]</w:t>
        </w:r>
      </w:hyperlink>
      <w:hyperlink r:id="rId13" w:history="1">
        <w:r w:rsidRPr="00525EF8">
          <w:rPr>
            <w:rStyle w:val="Hyperlink"/>
            <w:b/>
            <w:lang/>
          </w:rPr>
          <w:t>[10]</w:t>
        </w:r>
      </w:hyperlink>
      <w:r w:rsidRPr="00525EF8">
        <w:rPr>
          <w:lang/>
        </w:rPr>
        <w:t xml:space="preserve">. </w:t>
      </w:r>
      <w:r w:rsidRPr="00525EF8">
        <w:rPr>
          <w:rFonts w:ascii="MS Gothic" w:eastAsia="MS Gothic" w:hAnsi="MS Gothic" w:cs="MS Gothic" w:hint="eastAsia"/>
          <w:lang/>
        </w:rPr>
        <w:t>  </w:t>
      </w:r>
      <w:r w:rsidRPr="00525EF8">
        <w:rPr>
          <w:lang/>
        </w:rPr>
        <w:t>The interruptions caused by these movements can lead to increased costs for mining companies, as they may need to invest in security measures or legal defenses to continue operations. This, in turn, can affect the overall profitability of gold mining, leading to a potential decline in investment in the sector</w:t>
      </w:r>
      <w:hyperlink r:id="rId14" w:history="1">
        <w:r w:rsidRPr="00525EF8">
          <w:rPr>
            <w:rStyle w:val="Hyperlink"/>
            <w:b/>
            <w:lang/>
          </w:rPr>
          <w:t>[11]</w:t>
        </w:r>
      </w:hyperlink>
      <w:hyperlink r:id="rId15" w:history="1">
        <w:r w:rsidRPr="00525EF8">
          <w:rPr>
            <w:rStyle w:val="Hyperlink"/>
            <w:b/>
            <w:lang/>
          </w:rPr>
          <w:t>[12]</w:t>
        </w:r>
      </w:hyperlink>
      <w:r w:rsidRPr="00525EF8">
        <w:rPr>
          <w:lang/>
        </w:rPr>
        <w:t xml:space="preserve">. </w:t>
      </w:r>
      <w:r w:rsidRPr="00525EF8">
        <w:rPr>
          <w:rFonts w:ascii="MS Gothic" w:eastAsia="MS Gothic" w:hAnsi="MS Gothic" w:cs="MS Gothic" w:hint="eastAsia"/>
          <w:lang/>
        </w:rPr>
        <w:t>  </w:t>
      </w:r>
      <w:r w:rsidRPr="00525EF8">
        <w:rPr>
          <w:lang/>
        </w:rPr>
        <w:t>The Role of Class Struggle in Anti-Gold-Mining Movements</w:t>
      </w:r>
      <w:r w:rsidRPr="00525EF8">
        <w:rPr>
          <w:rFonts w:ascii="MS Gothic" w:eastAsia="MS Gothic" w:hAnsi="MS Gothic" w:cs="MS Gothic" w:hint="eastAsia"/>
          <w:lang/>
        </w:rPr>
        <w:t>  </w:t>
      </w:r>
      <w:r w:rsidRPr="00525EF8">
        <w:rPr>
          <w:lang/>
        </w:rPr>
        <w:t>Anti-gold-mining movements are also deeply intertwined with class struggle. The resistance against mining operations often reflects broader social and economic inequalities, as marginalized communities fight against the encroachment of capital on their land and resources. These movements highlight the contradictions within the capitalist system, where the pursuit of profit often comes at the expense of local communities and the environment</w:t>
      </w:r>
      <w:hyperlink r:id="rId16" w:history="1">
        <w:r w:rsidRPr="00525EF8">
          <w:rPr>
            <w:rStyle w:val="Hyperlink"/>
            <w:b/>
            <w:lang/>
          </w:rPr>
          <w:t>[13]</w:t>
        </w:r>
      </w:hyperlink>
      <w:hyperlink r:id="rId17" w:history="1">
        <w:r w:rsidRPr="00525EF8">
          <w:rPr>
            <w:rStyle w:val="Hyperlink"/>
            <w:b/>
            <w:lang/>
          </w:rPr>
          <w:t>[14]</w:t>
        </w:r>
      </w:hyperlink>
      <w:r w:rsidRPr="00525EF8">
        <w:rPr>
          <w:lang/>
        </w:rPr>
        <w:t>.</w:t>
      </w:r>
      <w:r w:rsidRPr="00525EF8">
        <w:rPr>
          <w:rFonts w:ascii="MS Gothic" w:eastAsia="MS Gothic" w:hAnsi="MS Gothic" w:cs="MS Gothic" w:hint="eastAsia"/>
          <w:lang/>
        </w:rPr>
        <w:t>  </w:t>
      </w:r>
      <w:r w:rsidRPr="00525EF8">
        <w:rPr>
          <w:lang/>
        </w:rPr>
        <w:t>The power dynamics at play in anti-gold-mining struggles reveal the overdetermination of labor in the profit rate fall. As communities mobilize against mining companies, they assert their rights and challenge the exploitative practices that characterize the gold extraction process. This resistance can lead to a reconfiguration of power relations, as local communities gain visibility and support in their struggles</w:t>
      </w:r>
      <w:hyperlink r:id="rId18" w:history="1">
        <w:r w:rsidRPr="00525EF8">
          <w:rPr>
            <w:rStyle w:val="Hyperlink"/>
            <w:b/>
            <w:lang/>
          </w:rPr>
          <w:t>[15]</w:t>
        </w:r>
      </w:hyperlink>
      <w:hyperlink r:id="rId19" w:history="1">
        <w:r w:rsidRPr="00525EF8">
          <w:rPr>
            <w:rStyle w:val="Hyperlink"/>
            <w:b/>
            <w:lang/>
          </w:rPr>
          <w:t>[16]</w:t>
        </w:r>
      </w:hyperlink>
      <w:r w:rsidRPr="00525EF8">
        <w:rPr>
          <w:lang/>
        </w:rPr>
        <w:t>.</w:t>
      </w:r>
      <w:r w:rsidRPr="00525EF8">
        <w:rPr>
          <w:rFonts w:ascii="MS Gothic" w:eastAsia="MS Gothic" w:hAnsi="MS Gothic" w:cs="MS Gothic" w:hint="eastAsia"/>
          <w:lang/>
        </w:rPr>
        <w:t>  </w:t>
      </w:r>
      <w:r w:rsidRPr="00525EF8">
        <w:rPr>
          <w:lang/>
        </w:rPr>
        <w:t>The Monetary Crisis and Gold Hoarding</w:t>
      </w:r>
      <w:r w:rsidRPr="00525EF8">
        <w:rPr>
          <w:rFonts w:ascii="MS Gothic" w:eastAsia="MS Gothic" w:hAnsi="MS Gothic" w:cs="MS Gothic" w:hint="eastAsia"/>
          <w:lang/>
        </w:rPr>
        <w:t>  </w:t>
      </w:r>
      <w:r w:rsidRPr="00525EF8">
        <w:rPr>
          <w:lang/>
        </w:rPr>
        <w:t>The impact of anti-gold-mining movements is further complicated by the broader monetary crisis that has emerged in the wake of gold liberalization. As gold prices rise, driven by both market speculation and the hoarding behavior of state-capitalists, the significance of gold as a universal equivalent commodity becomes increasingly pronounced</w:t>
      </w:r>
      <w:hyperlink r:id="rId20" w:history="1">
        <w:r w:rsidRPr="00525EF8">
          <w:rPr>
            <w:rStyle w:val="Hyperlink"/>
            <w:b/>
            <w:lang/>
          </w:rPr>
          <w:t>[17]</w:t>
        </w:r>
      </w:hyperlink>
      <w:hyperlink r:id="rId21" w:history="1">
        <w:r w:rsidRPr="00525EF8">
          <w:rPr>
            <w:rStyle w:val="Hyperlink"/>
            <w:b/>
            <w:lang/>
          </w:rPr>
          <w:t>[18]</w:t>
        </w:r>
      </w:hyperlink>
      <w:r w:rsidRPr="00525EF8">
        <w:rPr>
          <w:lang/>
        </w:rPr>
        <w:t xml:space="preserve">. </w:t>
      </w:r>
      <w:r w:rsidRPr="00525EF8">
        <w:rPr>
          <w:rFonts w:ascii="MS Gothic" w:eastAsia="MS Gothic" w:hAnsi="MS Gothic" w:cs="MS Gothic" w:hint="eastAsia"/>
          <w:lang/>
        </w:rPr>
        <w:t>  </w:t>
      </w:r>
      <w:r w:rsidRPr="00525EF8">
        <w:rPr>
          <w:lang/>
        </w:rPr>
        <w:t>In this context, anti-gold-mining movements can be seen as a response to the instability caused by the breakdown of the U.S. dollar's hegemony in the international monetary system. The rush for gold reserves among competing capitalist states reflects a growing recognition of gold's role as a safe haven asset amid economic uncertainty</w:t>
      </w:r>
      <w:hyperlink r:id="rId22" w:history="1">
        <w:r w:rsidRPr="00525EF8">
          <w:rPr>
            <w:rStyle w:val="Hyperlink"/>
            <w:b/>
            <w:lang/>
          </w:rPr>
          <w:t>[19]</w:t>
        </w:r>
      </w:hyperlink>
      <w:hyperlink r:id="rId23" w:history="1">
        <w:r w:rsidRPr="00525EF8">
          <w:rPr>
            <w:rStyle w:val="Hyperlink"/>
            <w:b/>
            <w:lang/>
          </w:rPr>
          <w:t>[20]</w:t>
        </w:r>
      </w:hyperlink>
      <w:r w:rsidRPr="00525EF8">
        <w:rPr>
          <w:lang/>
        </w:rPr>
        <w:t xml:space="preserve">. </w:t>
      </w:r>
      <w:r w:rsidRPr="00525EF8">
        <w:rPr>
          <w:rFonts w:ascii="MS Gothic" w:eastAsia="MS Gothic" w:hAnsi="MS Gothic" w:cs="MS Gothic" w:hint="eastAsia"/>
          <w:lang/>
        </w:rPr>
        <w:t>  </w:t>
      </w:r>
      <w:r w:rsidRPr="00525EF8">
        <w:rPr>
          <w:lang/>
        </w:rPr>
        <w:t xml:space="preserve">As communities resist gold mining, </w:t>
      </w:r>
      <w:r w:rsidRPr="00525EF8">
        <w:rPr>
          <w:lang/>
        </w:rPr>
        <w:lastRenderedPageBreak/>
        <w:t>they not only challenge the immediate impacts of extraction but also engage in a broader struggle against the commodification of their land and resources. This resistance can lead to a reevaluation of the role of gold in capital circulation, as the social and environmental costs of extraction become more apparent</w:t>
      </w:r>
      <w:hyperlink r:id="rId24" w:history="1">
        <w:r w:rsidRPr="00525EF8">
          <w:rPr>
            <w:rStyle w:val="Hyperlink"/>
            <w:b/>
            <w:lang/>
          </w:rPr>
          <w:t>[21]</w:t>
        </w:r>
      </w:hyperlink>
      <w:hyperlink r:id="rId25" w:history="1">
        <w:r w:rsidRPr="00525EF8">
          <w:rPr>
            <w:rStyle w:val="Hyperlink"/>
            <w:b/>
            <w:lang/>
          </w:rPr>
          <w:t>[22]</w:t>
        </w:r>
      </w:hyperlink>
      <w:r w:rsidRPr="00525EF8">
        <w:rPr>
          <w:lang/>
        </w:rPr>
        <w:t>.</w:t>
      </w:r>
      <w:r w:rsidRPr="00525EF8">
        <w:rPr>
          <w:rFonts w:ascii="MS Gothic" w:eastAsia="MS Gothic" w:hAnsi="MS Gothic" w:cs="MS Gothic" w:hint="eastAsia"/>
          <w:lang/>
        </w:rPr>
        <w:t>  </w:t>
      </w:r>
      <w:r w:rsidRPr="00525EF8">
        <w:rPr>
          <w:lang/>
        </w:rPr>
        <w:t>Conclusion</w:t>
      </w:r>
      <w:r w:rsidRPr="00525EF8">
        <w:rPr>
          <w:rFonts w:ascii="MS Gothic" w:eastAsia="MS Gothic" w:hAnsi="MS Gothic" w:cs="MS Gothic" w:hint="eastAsia"/>
          <w:lang/>
        </w:rPr>
        <w:t>  </w:t>
      </w:r>
      <w:r w:rsidRPr="00525EF8">
        <w:rPr>
          <w:lang/>
        </w:rPr>
        <w:t>In conclusion, anti-gold-mining movements play a crucial role in shaping the dynamics of capital circulation within the capitalist system. By challenging the legitimacy of gold extraction and asserting their rights, local communities disrupt the flow of capital and highlight the contradictions inherent in the pursuit of profit. These movements not only reflect the struggles of marginalized communities but also engage with broader economic and social issues, ultimately contributing to a reconfiguration of power relations in the context of gold mining and capital reproduction</w:t>
      </w:r>
      <w:hyperlink r:id="rId26" w:history="1">
        <w:r w:rsidRPr="00525EF8">
          <w:rPr>
            <w:rStyle w:val="Hyperlink"/>
            <w:b/>
            <w:lang/>
          </w:rPr>
          <w:t>[23]</w:t>
        </w:r>
      </w:hyperlink>
      <w:hyperlink r:id="rId27" w:history="1">
        <w:r w:rsidRPr="00525EF8">
          <w:rPr>
            <w:rStyle w:val="Hyperlink"/>
            <w:b/>
            <w:lang/>
          </w:rPr>
          <w:t>[24]</w:t>
        </w:r>
      </w:hyperlink>
      <w:r w:rsidRPr="00525EF8">
        <w:rPr>
          <w:lang/>
        </w:rPr>
        <w:t>.</w:t>
      </w:r>
      <w:r w:rsidRPr="00525EF8">
        <w:rPr>
          <w:rFonts w:ascii="MS Gothic" w:eastAsia="MS Gothic" w:hAnsi="MS Gothic" w:cs="MS Gothic" w:hint="eastAsia"/>
          <w:lang/>
        </w:rPr>
        <w:t> </w:t>
      </w:r>
    </w:p>
    <w:sectPr w:rsidR="00360F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F8"/>
    <w:rsid w:val="00360FA5"/>
    <w:rsid w:val="00525EF8"/>
    <w:rsid w:val="00B47288"/>
    <w:rsid w:val="00C75F0A"/>
    <w:rsid w:val="00EB55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0E43"/>
  <w15:chartTrackingRefBased/>
  <w15:docId w15:val="{699B3A07-2840-4627-8B39-74C06EF52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Heading2">
    <w:name w:val="heading 2"/>
    <w:basedOn w:val="Normal"/>
    <w:next w:val="Normal"/>
    <w:link w:val="Heading2Ch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Heading3">
    <w:name w:val="heading 3"/>
    <w:basedOn w:val="Normal"/>
    <w:next w:val="Normal"/>
    <w:link w:val="Heading3Char"/>
    <w:uiPriority w:val="9"/>
    <w:semiHidden/>
    <w:unhideWhenUsed/>
    <w:qFormat/>
    <w:rsid w:val="00525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QuoteChar">
    <w:name w:val="Quote Char"/>
    <w:basedOn w:val="DefaultParagraphFont"/>
    <w:link w:val="Quote"/>
    <w:uiPriority w:val="29"/>
    <w:rsid w:val="00EB5585"/>
    <w:rPr>
      <w:rFonts w:ascii="Times New Roman" w:hAnsi="Times New Roman" w:cs="Times New Roman"/>
      <w:i/>
      <w:iCs/>
      <w:color w:val="404040" w:themeColor="text1" w:themeTint="BF"/>
      <w:szCs w:val="24"/>
      <w:lang w:val="en-US"/>
    </w:rPr>
  </w:style>
  <w:style w:type="paragraph" w:styleId="TableofFigures">
    <w:name w:val="table of figures"/>
    <w:basedOn w:val="Normal"/>
    <w:next w:val="Normal"/>
    <w:link w:val="TableofFiguresChar"/>
    <w:autoRedefine/>
    <w:uiPriority w:val="99"/>
    <w:unhideWhenUsed/>
    <w:qFormat/>
    <w:rsid w:val="00B47288"/>
    <w:pPr>
      <w:tabs>
        <w:tab w:val="right" w:leader="dot" w:pos="8495"/>
      </w:tabs>
      <w:spacing w:after="0" w:line="360" w:lineRule="auto"/>
    </w:pPr>
  </w:style>
  <w:style w:type="character" w:customStyle="1" w:styleId="Heading1Char">
    <w:name w:val="Heading 1 Char"/>
    <w:basedOn w:val="DefaultParagraphFont"/>
    <w:link w:val="Heading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Heading2Char">
    <w:name w:val="Heading 2 Char"/>
    <w:basedOn w:val="DefaultParagraphFont"/>
    <w:link w:val="Heading2"/>
    <w:uiPriority w:val="9"/>
    <w:rsid w:val="00B47288"/>
    <w:rPr>
      <w:rFonts w:ascii="Times New Roman" w:eastAsia="Times New Roman" w:hAnsi="Times New Roman" w:cs="Times New Roman"/>
      <w:b/>
      <w:kern w:val="0"/>
      <w:sz w:val="24"/>
      <w:szCs w:val="26"/>
      <w:lang w:val="es-ES" w:eastAsia="es-PE"/>
      <w14:ligatures w14:val="none"/>
    </w:rPr>
  </w:style>
  <w:style w:type="paragraph" w:styleId="TO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eofFigur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eofFiguresChar"/>
    <w:link w:val="Tabladetablas"/>
    <w:rsid w:val="00B47288"/>
    <w:rPr>
      <w:b/>
      <w:color w:val="000000"/>
      <w:szCs w:val="18"/>
    </w:rPr>
  </w:style>
  <w:style w:type="character" w:customStyle="1" w:styleId="TableofFiguresChar">
    <w:name w:val="Table of Figures Char"/>
    <w:basedOn w:val="DefaultParagraphFont"/>
    <w:link w:val="TableofFigures"/>
    <w:uiPriority w:val="99"/>
    <w:rsid w:val="00B47288"/>
  </w:style>
  <w:style w:type="character" w:customStyle="1" w:styleId="Heading3Char">
    <w:name w:val="Heading 3 Char"/>
    <w:basedOn w:val="DefaultParagraphFont"/>
    <w:link w:val="Heading3"/>
    <w:uiPriority w:val="9"/>
    <w:semiHidden/>
    <w:rsid w:val="00525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EF8"/>
    <w:rPr>
      <w:rFonts w:eastAsiaTheme="majorEastAsia" w:cstheme="majorBidi"/>
      <w:color w:val="272727" w:themeColor="text1" w:themeTint="D8"/>
    </w:rPr>
  </w:style>
  <w:style w:type="paragraph" w:styleId="Title">
    <w:name w:val="Title"/>
    <w:basedOn w:val="Normal"/>
    <w:next w:val="Normal"/>
    <w:link w:val="TitleChar"/>
    <w:uiPriority w:val="10"/>
    <w:qFormat/>
    <w:rsid w:val="00525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EF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25EF8"/>
    <w:pPr>
      <w:ind w:left="720"/>
      <w:contextualSpacing/>
    </w:pPr>
  </w:style>
  <w:style w:type="character" w:styleId="IntenseEmphasis">
    <w:name w:val="Intense Emphasis"/>
    <w:basedOn w:val="DefaultParagraphFont"/>
    <w:uiPriority w:val="21"/>
    <w:qFormat/>
    <w:rsid w:val="00525EF8"/>
    <w:rPr>
      <w:i/>
      <w:iCs/>
      <w:color w:val="0F4761" w:themeColor="accent1" w:themeShade="BF"/>
    </w:rPr>
  </w:style>
  <w:style w:type="paragraph" w:styleId="IntenseQuote">
    <w:name w:val="Intense Quote"/>
    <w:basedOn w:val="Normal"/>
    <w:next w:val="Normal"/>
    <w:link w:val="IntenseQuoteChar"/>
    <w:uiPriority w:val="30"/>
    <w:qFormat/>
    <w:rsid w:val="00525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EF8"/>
    <w:rPr>
      <w:i/>
      <w:iCs/>
      <w:color w:val="0F4761" w:themeColor="accent1" w:themeShade="BF"/>
    </w:rPr>
  </w:style>
  <w:style w:type="character" w:styleId="IntenseReference">
    <w:name w:val="Intense Reference"/>
    <w:basedOn w:val="DefaultParagraphFont"/>
    <w:uiPriority w:val="32"/>
    <w:qFormat/>
    <w:rsid w:val="00525EF8"/>
    <w:rPr>
      <w:b/>
      <w:bCs/>
      <w:smallCaps/>
      <w:color w:val="0F4761" w:themeColor="accent1" w:themeShade="BF"/>
      <w:spacing w:val="5"/>
    </w:rPr>
  </w:style>
  <w:style w:type="character" w:styleId="Hyperlink">
    <w:name w:val="Hyperlink"/>
    <w:basedOn w:val="DefaultParagraphFont"/>
    <w:uiPriority w:val="99"/>
    <w:unhideWhenUsed/>
    <w:rsid w:val="00525EF8"/>
    <w:rPr>
      <w:color w:val="467886" w:themeColor="hyperlink"/>
      <w:u w:val="single"/>
    </w:rPr>
  </w:style>
  <w:style w:type="character" w:styleId="UnresolvedMention">
    <w:name w:val="Unresolved Mention"/>
    <w:basedOn w:val="DefaultParagraphFont"/>
    <w:uiPriority w:val="99"/>
    <w:semiHidden/>
    <w:unhideWhenUsed/>
    <w:rsid w:val="00525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atlasti.com/bbcd879c-17bb-40a2-9b94-5d65466407dd/documents/322ce97a-5c2f-4815-9fde-40476a9feac6/range/23839-24794" TargetMode="External"/><Relationship Id="rId13" Type="http://schemas.openxmlformats.org/officeDocument/2006/relationships/hyperlink" Target="https://go.atlasti.com/bbcd879c-17bb-40a2-9b94-5d65466407dd/documents/322ce97a-5c2f-4815-9fde-40476a9feac6/range/3033-4257" TargetMode="External"/><Relationship Id="rId18" Type="http://schemas.openxmlformats.org/officeDocument/2006/relationships/hyperlink" Target="https://go.atlasti.com/bbcd879c-17bb-40a2-9b94-5d65466407dd/documents/322ce97a-5c2f-4815-9fde-40476a9feac6/range/23839-24794" TargetMode="External"/><Relationship Id="rId26" Type="http://schemas.openxmlformats.org/officeDocument/2006/relationships/hyperlink" Target="https://go.atlasti.com/bbcd879c-17bb-40a2-9b94-5d65466407dd/documents/322ce97a-5c2f-4815-9fde-40476a9feac6/range/23839-24794" TargetMode="External"/><Relationship Id="rId3" Type="http://schemas.openxmlformats.org/officeDocument/2006/relationships/webSettings" Target="webSettings.xml"/><Relationship Id="rId21" Type="http://schemas.openxmlformats.org/officeDocument/2006/relationships/hyperlink" Target="https://go.atlasti.com/bbcd879c-17bb-40a2-9b94-5d65466407dd/documents/322ce97a-5c2f-4815-9fde-40476a9feac6/range/15125-16081" TargetMode="External"/><Relationship Id="rId7" Type="http://schemas.openxmlformats.org/officeDocument/2006/relationships/hyperlink" Target="https://go.atlasti.com/bbcd879c-17bb-40a2-9b94-5d65466407dd/documents/322ce97a-5c2f-4815-9fde-40476a9feac6/range/9017-10169" TargetMode="External"/><Relationship Id="rId12" Type="http://schemas.openxmlformats.org/officeDocument/2006/relationships/hyperlink" Target="https://go.atlasti.com/bbcd879c-17bb-40a2-9b94-5d65466407dd/documents/322ce97a-5c2f-4815-9fde-40476a9feac6/range/23839-24794" TargetMode="External"/><Relationship Id="rId17" Type="http://schemas.openxmlformats.org/officeDocument/2006/relationships/hyperlink" Target="https://go.atlasti.com/bbcd879c-17bb-40a2-9b94-5d65466407dd/documents/322ce97a-5c2f-4815-9fde-40476a9feac6/range/9644-10680" TargetMode="External"/><Relationship Id="rId25" Type="http://schemas.openxmlformats.org/officeDocument/2006/relationships/hyperlink" Target="https://go.atlasti.com/bbcd879c-17bb-40a2-9b94-5d65466407dd/documents/322ce97a-5c2f-4815-9fde-40476a9feac6/range/9644-10680" TargetMode="External"/><Relationship Id="rId2" Type="http://schemas.openxmlformats.org/officeDocument/2006/relationships/settings" Target="settings.xml"/><Relationship Id="rId16" Type="http://schemas.openxmlformats.org/officeDocument/2006/relationships/hyperlink" Target="https://go.atlasti.com/bbcd879c-17bb-40a2-9b94-5d65466407dd/documents/322ce97a-5c2f-4815-9fde-40476a9feac6/range/23839-24794" TargetMode="External"/><Relationship Id="rId20" Type="http://schemas.openxmlformats.org/officeDocument/2006/relationships/hyperlink" Target="https://go.atlasti.com/bbcd879c-17bb-40a2-9b94-5d65466407dd/documents/322ce97a-5c2f-4815-9fde-40476a9feac6/range/21393-22372"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o.atlasti.com/bbcd879c-17bb-40a2-9b94-5d65466407dd/documents/322ce97a-5c2f-4815-9fde-40476a9feac6/range/5129-6106" TargetMode="External"/><Relationship Id="rId11" Type="http://schemas.openxmlformats.org/officeDocument/2006/relationships/hyperlink" Target="https://go.atlasti.com/bbcd879c-17bb-40a2-9b94-5d65466407dd/documents/322ce97a-5c2f-4815-9fde-40476a9feac6/range/9644-10680" TargetMode="External"/><Relationship Id="rId24" Type="http://schemas.openxmlformats.org/officeDocument/2006/relationships/hyperlink" Target="https://go.atlasti.com/bbcd879c-17bb-40a2-9b94-5d65466407dd/documents/322ce97a-5c2f-4815-9fde-40476a9feac6/range/23839-24794" TargetMode="External"/><Relationship Id="rId5" Type="http://schemas.openxmlformats.org/officeDocument/2006/relationships/hyperlink" Target="https://go.atlasti.com/bbcd879c-17bb-40a2-9b94-5d65466407dd/documents/322ce97a-5c2f-4815-9fde-40476a9feac6/range/9644-10680" TargetMode="External"/><Relationship Id="rId15" Type="http://schemas.openxmlformats.org/officeDocument/2006/relationships/hyperlink" Target="https://go.atlasti.com/bbcd879c-17bb-40a2-9b94-5d65466407dd/documents/322ce97a-5c2f-4815-9fde-40476a9feac6/range/27840-29154" TargetMode="External"/><Relationship Id="rId23" Type="http://schemas.openxmlformats.org/officeDocument/2006/relationships/hyperlink" Target="https://go.atlasti.com/bbcd879c-17bb-40a2-9b94-5d65466407dd/documents/322ce97a-5c2f-4815-9fde-40476a9feac6/range/23839-24794" TargetMode="External"/><Relationship Id="rId28" Type="http://schemas.openxmlformats.org/officeDocument/2006/relationships/fontTable" Target="fontTable.xml"/><Relationship Id="rId10" Type="http://schemas.openxmlformats.org/officeDocument/2006/relationships/hyperlink" Target="https://go.atlasti.com/bbcd879c-17bb-40a2-9b94-5d65466407dd/documents/322ce97a-5c2f-4815-9fde-40476a9feac6/range/23839-24794" TargetMode="External"/><Relationship Id="rId19" Type="http://schemas.openxmlformats.org/officeDocument/2006/relationships/hyperlink" Target="https://go.atlasti.com/bbcd879c-17bb-40a2-9b94-5d65466407dd/documents/322ce97a-5c2f-4815-9fde-40476a9feac6/range/24228-25530" TargetMode="External"/><Relationship Id="rId4" Type="http://schemas.openxmlformats.org/officeDocument/2006/relationships/hyperlink" Target="https://go.atlasti.com/bbcd879c-17bb-40a2-9b94-5d65466407dd/documents/322ce97a-5c2f-4815-9fde-40476a9feac6/range/23839-24794" TargetMode="External"/><Relationship Id="rId9" Type="http://schemas.openxmlformats.org/officeDocument/2006/relationships/hyperlink" Target="https://go.atlasti.com/bbcd879c-17bb-40a2-9b94-5d65466407dd/documents/322ce97a-5c2f-4815-9fde-40476a9feac6/range/5129-6106" TargetMode="External"/><Relationship Id="rId14" Type="http://schemas.openxmlformats.org/officeDocument/2006/relationships/hyperlink" Target="https://go.atlasti.com/bbcd879c-17bb-40a2-9b94-5d65466407dd/documents/322ce97a-5c2f-4815-9fde-40476a9feac6/range/23839-24794" TargetMode="External"/><Relationship Id="rId22" Type="http://schemas.openxmlformats.org/officeDocument/2006/relationships/hyperlink" Target="https://go.atlasti.com/bbcd879c-17bb-40a2-9b94-5d65466407dd/documents/322ce97a-5c2f-4815-9fde-40476a9feac6/range/27840-29154" TargetMode="External"/><Relationship Id="rId27" Type="http://schemas.openxmlformats.org/officeDocument/2006/relationships/hyperlink" Target="https://go.atlasti.com/bbcd879c-17bb-40a2-9b94-5d65466407dd/documents/322ce97a-5c2f-4815-9fde-40476a9feac6/range/9644-10680" TargetMode="External"/></Relationships>
</file>

<file path=word/theme/theme1.xml><?xml version="1.0" encoding="utf-8"?>
<a:theme xmlns:a="http://schemas.openxmlformats.org/drawingml/2006/main" name="Tema de Offic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1279</Words>
  <Characters>7039</Characters>
  <Application>Microsoft Office Word</Application>
  <DocSecurity>0</DocSecurity>
  <Lines>58</Lines>
  <Paragraphs>16</Paragraphs>
  <ScaleCrop>false</ScaleCrop>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cp:revision>
  <dcterms:created xsi:type="dcterms:W3CDTF">2025-01-04T05:24:00Z</dcterms:created>
  <dcterms:modified xsi:type="dcterms:W3CDTF">2025-01-04T05:26:00Z</dcterms:modified>
</cp:coreProperties>
</file>