
<file path=[Content_Types].xml><?xml version="1.0" encoding="utf-8"?>
<Types xmlns="http://schemas.openxmlformats.org/package/2006/content-types">
  <Default Extension="png" ContentType="image/png;base64"/>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E045F" w14:textId="77777777" w:rsidR="009C64F5" w:rsidRDefault="00000000">
      <w:pPr>
        <w:pStyle w:val="Ttulo"/>
      </w:pPr>
      <w:r>
        <w:t>Why the West can't win: from Bretton Woods to a multipolar world</w:t>
      </w:r>
    </w:p>
    <w:p w14:paraId="0CFA85C9" w14:textId="77777777" w:rsidR="009C64F5" w:rsidRDefault="00000000">
      <w:pPr>
        <w:pStyle w:val="Author"/>
      </w:pPr>
      <w:r>
        <w:t>Lama, Fadi</w:t>
      </w:r>
    </w:p>
    <w:p w14:paraId="01EB1843" w14:textId="77777777" w:rsidR="009C64F5" w:rsidRDefault="00000000">
      <w:pPr>
        <w:pStyle w:val="Fecha"/>
      </w:pPr>
      <w:r>
        <w:t>2023-01-01</w:t>
      </w:r>
    </w:p>
    <w:p w14:paraId="330E6435" w14:textId="77777777" w:rsidR="009C64F5" w:rsidRDefault="00000000">
      <w:pPr>
        <w:pStyle w:val="FirstParagraph"/>
      </w:pPr>
      <w:r>
        <w:t xml:space="preserve">Lama, Fadi. 2023. </w:t>
      </w:r>
      <w:r>
        <w:rPr>
          <w:i/>
          <w:iCs/>
        </w:rPr>
        <w:t>Why the West Can’t Win: From Bretton Woods to a Multipolar World</w:t>
      </w:r>
      <w:r>
        <w:t>. Atlanta, GA: Clarity Press.</w:t>
      </w:r>
      <w:r>
        <w:br/>
      </w:r>
      <w:hyperlink r:id="rId7">
        <w:r>
          <w:rPr>
            <w:rStyle w:val="Hipervnculo"/>
          </w:rPr>
          <w:t>online</w:t>
        </w:r>
      </w:hyperlink>
      <w:r>
        <w:t xml:space="preserve"> </w:t>
      </w:r>
      <w:hyperlink r:id="rId8">
        <w:r>
          <w:rPr>
            <w:rStyle w:val="Hipervnculo"/>
          </w:rPr>
          <w:t>local</w:t>
        </w:r>
      </w:hyperlink>
      <w:r>
        <w:t xml:space="preserve"> </w:t>
      </w:r>
      <w:hyperlink>
        <w:r>
          <w:rPr>
            <w:rStyle w:val="Hipervnculo"/>
          </w:rPr>
          <w:t>pdf</w:t>
        </w:r>
      </w:hyperlink>
    </w:p>
    <w:p w14:paraId="4A2722FE" w14:textId="77777777" w:rsidR="009C64F5" w:rsidRDefault="00000000">
      <w:pPr>
        <w:pStyle w:val="Ttulo3"/>
      </w:pPr>
      <w:bookmarkStart w:id="0" w:name="index"/>
      <w:r>
        <w:t>Index</w:t>
      </w:r>
    </w:p>
    <w:p w14:paraId="5A763DAB" w14:textId="77777777" w:rsidR="009C64F5" w:rsidRDefault="00000000">
      <w:pPr>
        <w:pStyle w:val="FirstParagraph"/>
      </w:pPr>
      <w:r>
        <w:t>start-date:: 2023-01-01</w:t>
      </w:r>
      <w:r>
        <w:br/>
        <w:t>end-date::</w:t>
      </w:r>
      <w:r>
        <w:br/>
        <w:t>page-no:: xvii</w:t>
      </w:r>
    </w:p>
    <w:p w14:paraId="0528A955" w14:textId="77777777" w:rsidR="009C64F5" w:rsidRDefault="00000000">
      <w:pPr>
        <w:pStyle w:val="Ttulo3"/>
      </w:pPr>
      <w:bookmarkStart w:id="1" w:name="connections"/>
      <w:bookmarkEnd w:id="0"/>
      <w:r>
        <w:t>Connections</w:t>
      </w:r>
    </w:p>
    <w:p w14:paraId="03F4DE0D" w14:textId="77777777" w:rsidR="009C64F5" w:rsidRDefault="00000000">
      <w:pPr>
        <w:pStyle w:val="FirstParagraph"/>
      </w:pPr>
      <w:r>
        <w:t>comment::</w:t>
      </w:r>
    </w:p>
    <w:p w14:paraId="63F746BA" w14:textId="77777777" w:rsidR="009C64F5" w:rsidRDefault="00000000">
      <w:pPr>
        <w:pStyle w:val="Ttulo3"/>
      </w:pPr>
      <w:bookmarkStart w:id="2" w:name="note"/>
      <w:bookmarkEnd w:id="1"/>
      <w:r>
        <w:t>Note</w:t>
      </w:r>
    </w:p>
    <w:p w14:paraId="20613BA4" w14:textId="77777777" w:rsidR="009C64F5" w:rsidRDefault="00000000">
      <w:pPr>
        <w:pStyle w:val="Ttulo3"/>
      </w:pPr>
      <w:bookmarkStart w:id="3" w:name="imported-on-2024-01-18-414-pm"/>
      <w:bookmarkEnd w:id="2"/>
      <w:r>
        <w:t>Imported on 2024-01-18 4:14 pm</w:t>
      </w:r>
    </w:p>
    <w:p w14:paraId="4D39D5E6" w14:textId="77777777" w:rsidR="009C64F5" w:rsidRDefault="00000000">
      <w:pPr>
        <w:pStyle w:val="FirstParagraph"/>
      </w:pPr>
      <w:r>
        <w:rPr>
          <w:noProof/>
        </w:rPr>
        <w:drawing>
          <wp:inline distT="0" distB="0" distL="0" distR="0" wp14:anchorId="4985BF22" wp14:editId="2B025232">
            <wp:extent cx="228600" cy="228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ECFB1CB" w14:textId="77777777" w:rsidR="009C64F5" w:rsidRDefault="00000000">
      <w:pPr>
        <w:pStyle w:val="Textoindependiente"/>
      </w:pPr>
      <w:r>
        <w:t>Quote</w:t>
      </w:r>
    </w:p>
    <w:p w14:paraId="40E49F66" w14:textId="77777777" w:rsidR="009C64F5" w:rsidRDefault="00000000">
      <w:pPr>
        <w:pStyle w:val="Textoindependiente"/>
      </w:pPr>
      <w:r>
        <w:t xml:space="preserve">Geopolitical upheaval has gripped the world since the collapse of the Soviet Union. </w:t>
      </w:r>
      <w:hyperlink r:id="rId10">
        <w:r>
          <w:rPr>
            <w:rStyle w:val="Hipervnculo"/>
          </w:rPr>
          <w:t>(p. xvii)</w:t>
        </w:r>
      </w:hyperlink>
    </w:p>
    <w:p w14:paraId="1DC3E00D" w14:textId="77777777" w:rsidR="009C64F5" w:rsidRDefault="00000000">
      <w:pPr>
        <w:pStyle w:val="Textoindependiente"/>
      </w:pPr>
      <w:r>
        <w:t>This interpretation of the escalation of geopolitical contention with an upward passed 1989, is contradictory with a period of nuclear war crisis in 1969 during the "Cuban missiles crisis.", for example.</w:t>
      </w:r>
    </w:p>
    <w:p w14:paraId="7E771DF2" w14:textId="77777777" w:rsidR="009C64F5" w:rsidRDefault="00000000">
      <w:pPr>
        <w:pStyle w:val="Textoindependiente"/>
      </w:pPr>
      <w:r>
        <w:rPr>
          <w:noProof/>
        </w:rPr>
        <w:drawing>
          <wp:inline distT="0" distB="0" distL="0" distR="0" wp14:anchorId="13180FA6" wp14:editId="1D1D11B9">
            <wp:extent cx="228600" cy="228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AC4DB34" w14:textId="77777777" w:rsidR="009C64F5" w:rsidRDefault="00000000">
      <w:pPr>
        <w:pStyle w:val="Textoindependiente"/>
      </w:pPr>
      <w:r>
        <w:t>Quote</w:t>
      </w:r>
    </w:p>
    <w:p w14:paraId="2D1A3155" w14:textId="77777777" w:rsidR="009C64F5" w:rsidRDefault="00000000">
      <w:pPr>
        <w:pStyle w:val="Textoindependiente"/>
      </w:pPr>
      <w:r>
        <w:t xml:space="preserve">During the 1990s, the West’s geostrategic focus was on eliminating the potential for resurgence of Russia as a great power; dual political and economic approaches were adopted. </w:t>
      </w:r>
      <w:hyperlink r:id="rId11">
        <w:r>
          <w:rPr>
            <w:rStyle w:val="Hipervnculo"/>
          </w:rPr>
          <w:t>(p. xvii)</w:t>
        </w:r>
      </w:hyperlink>
    </w:p>
    <w:p w14:paraId="60E362BE" w14:textId="77777777" w:rsidR="009C64F5" w:rsidRDefault="00000000">
      <w:pPr>
        <w:pStyle w:val="Textoindependiente"/>
      </w:pPr>
      <w:r>
        <w:t>The political and economic measures taken by the West against Russia weren't militarized in the magnitude of the geopolitical contention developed until 1989.</w:t>
      </w:r>
    </w:p>
    <w:p w14:paraId="0E4FFD33" w14:textId="77777777" w:rsidR="009C64F5" w:rsidRDefault="00000000">
      <w:pPr>
        <w:pStyle w:val="Textoindependiente"/>
      </w:pPr>
      <w:r>
        <w:rPr>
          <w:noProof/>
        </w:rPr>
        <w:drawing>
          <wp:inline distT="0" distB="0" distL="0" distR="0" wp14:anchorId="7F3DA571" wp14:editId="7B00EBF0">
            <wp:extent cx="228600" cy="228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2DB14FC4" w14:textId="77777777" w:rsidR="009C64F5" w:rsidRDefault="00000000">
      <w:pPr>
        <w:pStyle w:val="Textoindependiente"/>
      </w:pPr>
      <w:r>
        <w:lastRenderedPageBreak/>
        <w:t>Quote</w:t>
      </w:r>
    </w:p>
    <w:p w14:paraId="064DDB90" w14:textId="2FC26C33" w:rsidR="009C64F5" w:rsidRDefault="00000000">
      <w:pPr>
        <w:pStyle w:val="Textoindependiente"/>
      </w:pPr>
      <w:r>
        <w:t>After having ‘fnished’ Russia, the focus turned to China as a potential challenger to Western global hegemony. Insofar as energy is the lifeline of nations, and China being energy def</w:t>
      </w:r>
      <w:r w:rsidR="00A33F35">
        <w:t>i</w:t>
      </w:r>
      <w:r>
        <w:t xml:space="preserve">cient, it was thought that the ability to control global energy resources, sea lanes and choke points to China would prevent China from challenging Western global hegemony. </w:t>
      </w:r>
      <w:hyperlink r:id="rId12">
        <w:r>
          <w:rPr>
            <w:rStyle w:val="Hipervnculo"/>
          </w:rPr>
          <w:t>(p. xvii)</w:t>
        </w:r>
      </w:hyperlink>
    </w:p>
    <w:p w14:paraId="73ECD01E" w14:textId="50BD9AD2" w:rsidR="009C64F5" w:rsidRDefault="00000000">
      <w:pPr>
        <w:pStyle w:val="Textoindependiente"/>
      </w:pPr>
      <w:r>
        <w:t>The monopolistic regime over the transportation infrastructure of energy-mining resources by West global hegemony was enough to prevent the effective rivalry of China and Russia until the end of the XX century and the first year</w:t>
      </w:r>
      <w:r w:rsidR="00A33F35">
        <w:t>s</w:t>
      </w:r>
      <w:r>
        <w:t xml:space="preserve"> of the XXI.</w:t>
      </w:r>
    </w:p>
    <w:p w14:paraId="5EF90090" w14:textId="77777777" w:rsidR="009C64F5" w:rsidRDefault="00000000">
      <w:pPr>
        <w:pStyle w:val="Textoindependiente"/>
      </w:pPr>
      <w:r>
        <w:rPr>
          <w:noProof/>
        </w:rPr>
        <w:drawing>
          <wp:inline distT="0" distB="0" distL="0" distR="0" wp14:anchorId="6D685B2F" wp14:editId="577F03CC">
            <wp:extent cx="228600" cy="228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11978349" w14:textId="77777777" w:rsidR="009C64F5" w:rsidRDefault="00000000">
      <w:pPr>
        <w:pStyle w:val="Textoindependiente"/>
      </w:pPr>
      <w:r>
        <w:t>Quote</w:t>
      </w:r>
    </w:p>
    <w:p w14:paraId="7C943B5E" w14:textId="77777777" w:rsidR="009C64F5" w:rsidRDefault="00000000">
      <w:pPr>
        <w:pStyle w:val="Textoindependiente"/>
      </w:pPr>
      <w:r>
        <w:t xml:space="preserve">This work analyses the geopolitical struggle since the fall of the USSR with a view to providing insight into its endgame. Geopolitical analysis necessitates an historic overview, an understanding of the fnancial systems established at the Bretton Woods conference that continue to dominate the global economy, and how these fnancial systems are used as a powerful geopolitical instrument. </w:t>
      </w:r>
      <w:hyperlink r:id="rId13">
        <w:r>
          <w:rPr>
            <w:rStyle w:val="Hipervnculo"/>
          </w:rPr>
          <w:t>(p. xviii)</w:t>
        </w:r>
      </w:hyperlink>
    </w:p>
    <w:p w14:paraId="5DB679A9" w14:textId="77777777" w:rsidR="009C64F5" w:rsidRDefault="00000000">
      <w:pPr>
        <w:pStyle w:val="Textoindependiente"/>
      </w:pPr>
      <w:r>
        <w:t>The author states that West global hegemony after the fall of the USSR holds in the effective instrumentation of the financial system constituted with the Bretton Woods conference as a powerful geopolitical instrument.</w:t>
      </w:r>
    </w:p>
    <w:p w14:paraId="3C66339E" w14:textId="77777777" w:rsidR="009C64F5" w:rsidRDefault="00000000">
      <w:pPr>
        <w:pStyle w:val="Textoindependiente"/>
      </w:pPr>
      <w:r>
        <w:rPr>
          <w:noProof/>
        </w:rPr>
        <w:drawing>
          <wp:inline distT="0" distB="0" distL="0" distR="0" wp14:anchorId="3EC18E57" wp14:editId="227E624B">
            <wp:extent cx="228600" cy="228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7D70B77" w14:textId="77777777" w:rsidR="009C64F5" w:rsidRDefault="00000000">
      <w:pPr>
        <w:pStyle w:val="Textoindependiente"/>
      </w:pPr>
      <w:r>
        <w:t>Quote</w:t>
      </w:r>
    </w:p>
    <w:p w14:paraId="4FDFB09E" w14:textId="77777777" w:rsidR="009C64F5" w:rsidRDefault="00000000">
      <w:pPr>
        <w:pStyle w:val="Textoindependiente"/>
      </w:pPr>
      <w:r>
        <w:t xml:space="preserve">It also requires an economic analysis based on real goods production, global energy dynamics, and the alliances and strategies of key global players. </w:t>
      </w:r>
      <w:hyperlink r:id="rId14">
        <w:r>
          <w:rPr>
            <w:rStyle w:val="Hipervnculo"/>
          </w:rPr>
          <w:t>(p. xviii)</w:t>
        </w:r>
      </w:hyperlink>
    </w:p>
    <w:p w14:paraId="538775D0" w14:textId="77777777" w:rsidR="009C64F5" w:rsidRDefault="00000000">
      <w:pPr>
        <w:pStyle w:val="Textoindependiente"/>
      </w:pPr>
      <w:r>
        <w:t>Hegemony also requires the enforcement of the monopolistic tendency of imperialist capital, which is highly concentrated.</w:t>
      </w:r>
    </w:p>
    <w:p w14:paraId="0EBF934B" w14:textId="77777777" w:rsidR="009C64F5" w:rsidRDefault="00000000">
      <w:pPr>
        <w:pStyle w:val="Textoindependiente"/>
      </w:pPr>
      <w:r>
        <w:rPr>
          <w:noProof/>
        </w:rPr>
        <w:drawing>
          <wp:inline distT="0" distB="0" distL="0" distR="0" wp14:anchorId="658DA40C" wp14:editId="05DB412C">
            <wp:extent cx="228600" cy="228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68258D8" w14:textId="77777777" w:rsidR="009C64F5" w:rsidRDefault="00000000">
      <w:pPr>
        <w:pStyle w:val="Textoindependiente"/>
      </w:pPr>
      <w:r>
        <w:t>Quote</w:t>
      </w:r>
    </w:p>
    <w:p w14:paraId="319743F1" w14:textId="77777777" w:rsidR="009C64F5" w:rsidRDefault="00000000">
      <w:pPr>
        <w:pStyle w:val="Textoindependiente"/>
      </w:pPr>
      <w:r>
        <w:t xml:space="preserve">Western Europe and their outgrowths in North America, Australia, and New Zealand </w:t>
      </w:r>
      <w:hyperlink r:id="rId15">
        <w:r>
          <w:rPr>
            <w:rStyle w:val="Hipervnculo"/>
          </w:rPr>
          <w:t>(p. xviii)</w:t>
        </w:r>
      </w:hyperlink>
    </w:p>
    <w:p w14:paraId="1316367E" w14:textId="77777777" w:rsidR="009C64F5" w:rsidRDefault="00000000">
      <w:pPr>
        <w:pStyle w:val="Textoindependiente"/>
      </w:pPr>
      <w:r>
        <w:t>Western Europe block</w:t>
      </w:r>
    </w:p>
    <w:p w14:paraId="56352D41" w14:textId="77777777" w:rsidR="009C64F5" w:rsidRDefault="00000000">
      <w:pPr>
        <w:pStyle w:val="Textoindependiente"/>
      </w:pPr>
      <w:r>
        <w:rPr>
          <w:noProof/>
        </w:rPr>
        <w:drawing>
          <wp:inline distT="0" distB="0" distL="0" distR="0" wp14:anchorId="475FDC2C" wp14:editId="438E5DC0">
            <wp:extent cx="228600" cy="2286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5115FA44" w14:textId="77777777" w:rsidR="009C64F5" w:rsidRDefault="00000000">
      <w:pPr>
        <w:pStyle w:val="Textoindependiente"/>
      </w:pPr>
      <w:r>
        <w:t>Quote</w:t>
      </w:r>
    </w:p>
    <w:p w14:paraId="532EF2DF" w14:textId="77777777" w:rsidR="009C64F5" w:rsidRDefault="00000000">
      <w:pPr>
        <w:pStyle w:val="Textoindependiente"/>
      </w:pPr>
      <w:r>
        <w:t xml:space="preserve">Russia, Iran, and China, the sovereigntist opponents of Western hegemony, as well as the Global South </w:t>
      </w:r>
      <w:hyperlink r:id="rId16">
        <w:r>
          <w:rPr>
            <w:rStyle w:val="Hipervnculo"/>
          </w:rPr>
          <w:t>(p. xviii)</w:t>
        </w:r>
      </w:hyperlink>
    </w:p>
    <w:p w14:paraId="4B282BA1" w14:textId="77777777" w:rsidR="009C64F5" w:rsidRDefault="00000000">
      <w:pPr>
        <w:pStyle w:val="Textoindependiente"/>
      </w:pPr>
      <w:r>
        <w:lastRenderedPageBreak/>
        <w:t>Challengers of Western hegemony</w:t>
      </w:r>
    </w:p>
    <w:p w14:paraId="5F1E986D" w14:textId="77777777" w:rsidR="009C64F5" w:rsidRDefault="00000000">
      <w:pPr>
        <w:pStyle w:val="Textoindependiente"/>
      </w:pPr>
      <w:r>
        <w:rPr>
          <w:noProof/>
        </w:rPr>
        <w:drawing>
          <wp:inline distT="0" distB="0" distL="0" distR="0" wp14:anchorId="47AF5974" wp14:editId="2D0794A7">
            <wp:extent cx="228600" cy="2286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3CA7EBE" w14:textId="77777777" w:rsidR="009C64F5" w:rsidRDefault="00000000">
      <w:pPr>
        <w:pStyle w:val="Textoindependiente"/>
      </w:pPr>
      <w:r>
        <w:t>Quote</w:t>
      </w:r>
    </w:p>
    <w:p w14:paraId="7A6CFD23" w14:textId="77777777" w:rsidR="009C64F5" w:rsidRDefault="00000000">
      <w:pPr>
        <w:pStyle w:val="Textoindependiente"/>
      </w:pPr>
      <w:r>
        <w:t xml:space="preserve">As will be shown in this work, events in the three decades that followed the fall of the Soviet Union proved them only partially correct; it signaled the end of a millennium of history, dating back to the First Crusade. That millennium had been one of West European expansionism, plundering and oppression initially labeled Crusades when popes embodied political power, morphing into colonialism when papal powers diminished, to Free World when colonialism went out of fashion post-World War II, to the present ‘International Community’ after the collapse of the Soviet Union </w:t>
      </w:r>
      <w:hyperlink r:id="rId17">
        <w:r>
          <w:rPr>
            <w:rStyle w:val="Hipervnculo"/>
          </w:rPr>
          <w:t>(p. xviii)</w:t>
        </w:r>
      </w:hyperlink>
    </w:p>
    <w:p w14:paraId="423817CF" w14:textId="77777777" w:rsidR="009C64F5" w:rsidRDefault="00000000">
      <w:pPr>
        <w:pStyle w:val="Textoindependiente"/>
      </w:pPr>
      <w:r>
        <w:t>The author also states that the end of a millennium of West European expansionism started with the First crusades.</w:t>
      </w:r>
    </w:p>
    <w:p w14:paraId="7CF62FD8" w14:textId="77777777" w:rsidR="009C64F5" w:rsidRDefault="00000000">
      <w:pPr>
        <w:pStyle w:val="Textoindependiente"/>
      </w:pPr>
      <w:r>
        <w:rPr>
          <w:noProof/>
        </w:rPr>
        <w:drawing>
          <wp:inline distT="0" distB="0" distL="0" distR="0" wp14:anchorId="16DE9885" wp14:editId="748DF596">
            <wp:extent cx="228600" cy="2286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0B9674E6" w14:textId="77777777" w:rsidR="009C64F5" w:rsidRDefault="00000000">
      <w:pPr>
        <w:pStyle w:val="Textoindependiente"/>
      </w:pPr>
      <w:r>
        <w:t>Quote</w:t>
      </w:r>
    </w:p>
    <w:p w14:paraId="260F3FBF" w14:textId="77777777" w:rsidR="009C64F5" w:rsidRDefault="00000000">
      <w:pPr>
        <w:pStyle w:val="Textoindependiente"/>
      </w:pPr>
      <w:r>
        <w:t xml:space="preserve">The current global geopolitical clash is in essence a struggle between the colonial powers wishing to preserve the Bretton Woods system that facilitates siphoning the wealth of nations and sovereign nations striving for independence and an end to a millennium of their oppression. </w:t>
      </w:r>
      <w:hyperlink r:id="rId18">
        <w:r>
          <w:rPr>
            <w:rStyle w:val="Hipervnculo"/>
          </w:rPr>
          <w:t>(p. xviii)</w:t>
        </w:r>
      </w:hyperlink>
    </w:p>
    <w:p w14:paraId="320D51F6" w14:textId="77777777" w:rsidR="009C64F5" w:rsidRDefault="00000000">
      <w:pPr>
        <w:pStyle w:val="Textoindependiente"/>
      </w:pPr>
      <w:r>
        <w:t>Considering that each imperialist state is under control of a fraction of the TCC, but also that there are elements of the TCC that aren't over the direct control of the colonial-imperialist but over the control of transnational organizations, and obviously corporations. The escalation of the geopolitical contention between the West colonial-imperialist states and its challengers had a critical point in some institutions of hegemony</w:t>
      </w:r>
    </w:p>
    <w:p w14:paraId="440E2076" w14:textId="77777777" w:rsidR="009C64F5" w:rsidRDefault="00000000">
      <w:pPr>
        <w:pStyle w:val="Textoindependiente"/>
      </w:pPr>
      <w:r>
        <w:rPr>
          <w:noProof/>
        </w:rPr>
        <w:drawing>
          <wp:inline distT="0" distB="0" distL="0" distR="0" wp14:anchorId="05138271" wp14:editId="587FE1C5">
            <wp:extent cx="228600" cy="2286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D001D64" w14:textId="77777777" w:rsidR="009C64F5" w:rsidRDefault="00000000">
      <w:pPr>
        <w:pStyle w:val="Textoindependiente"/>
      </w:pPr>
      <w:r>
        <w:t>Quote</w:t>
      </w:r>
    </w:p>
    <w:p w14:paraId="38746CF4" w14:textId="14E95045" w:rsidR="009C64F5" w:rsidRDefault="00000000">
      <w:pPr>
        <w:pStyle w:val="Textoindependiente"/>
      </w:pPr>
      <w:r>
        <w:t>As is apparent from the f</w:t>
      </w:r>
      <w:r w:rsidR="00A33F35">
        <w:t>i</w:t>
      </w:r>
      <w:r>
        <w:t xml:space="preserve">gures below, in the year 1500 prior to colonization, GDP and population distribution were in equilibrium, with 80% of the world’s population accounting for 80% of global GDP and 20% of its population accounting for 20% of global GDP. </w:t>
      </w:r>
      <w:hyperlink r:id="rId19">
        <w:r>
          <w:rPr>
            <w:rStyle w:val="Hipervnculo"/>
          </w:rPr>
          <w:t>(p. 1)</w:t>
        </w:r>
      </w:hyperlink>
    </w:p>
    <w:p w14:paraId="6584AE92" w14:textId="77777777" w:rsidR="009C64F5" w:rsidRDefault="00000000">
      <w:pPr>
        <w:pStyle w:val="Textoindependiente"/>
      </w:pPr>
      <w:r>
        <w:t>The author presents the distribution charts of historical worlds population separately but related with the percentage of GDP distributions.</w:t>
      </w:r>
    </w:p>
    <w:p w14:paraId="2E2A0064" w14:textId="77777777" w:rsidR="009C64F5" w:rsidRDefault="00000000">
      <w:pPr>
        <w:pStyle w:val="Textoindependiente"/>
      </w:pPr>
      <w:r>
        <w:rPr>
          <w:noProof/>
        </w:rPr>
        <w:drawing>
          <wp:inline distT="0" distB="0" distL="0" distR="0" wp14:anchorId="3D052FAA" wp14:editId="0B025238">
            <wp:extent cx="228600" cy="2286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1C5DBEA4" w14:textId="77777777" w:rsidR="009C64F5" w:rsidRDefault="00000000">
      <w:pPr>
        <w:pStyle w:val="Textoindependiente"/>
      </w:pPr>
      <w:r>
        <w:t>Quote</w:t>
      </w:r>
    </w:p>
    <w:p w14:paraId="536769E7" w14:textId="77777777" w:rsidR="009C64F5" w:rsidRDefault="00000000">
      <w:pPr>
        <w:pStyle w:val="Textoindependiente"/>
      </w:pPr>
      <w:r>
        <w:lastRenderedPageBreak/>
        <w:t xml:space="preserve">India and China, each accounting for about 25% of world population, enjoyed a corresponding 25% of global wealth generation. </w:t>
      </w:r>
      <w:hyperlink r:id="rId20">
        <w:r>
          <w:rPr>
            <w:rStyle w:val="Hipervnculo"/>
          </w:rPr>
          <w:t>(p. 2)</w:t>
        </w:r>
      </w:hyperlink>
    </w:p>
    <w:p w14:paraId="415691F8" w14:textId="77777777" w:rsidR="009C64F5" w:rsidRDefault="00000000">
      <w:pPr>
        <w:pStyle w:val="Textoindependiente"/>
      </w:pPr>
      <w:r>
        <w:rPr>
          <w:noProof/>
        </w:rPr>
        <w:drawing>
          <wp:inline distT="0" distB="0" distL="0" distR="0" wp14:anchorId="7318F06D" wp14:editId="1ECC8DBF">
            <wp:extent cx="228600" cy="2286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12AA2C6" w14:textId="77777777" w:rsidR="009C64F5" w:rsidRDefault="00000000">
      <w:pPr>
        <w:pStyle w:val="Textoindependiente"/>
      </w:pPr>
      <w:r>
        <w:t>Quote</w:t>
      </w:r>
    </w:p>
    <w:p w14:paraId="4BB34AF0" w14:textId="77777777" w:rsidR="009C64F5" w:rsidRDefault="00000000">
      <w:pPr>
        <w:pStyle w:val="Textoindependiente"/>
      </w:pPr>
      <w:r>
        <w:t xml:space="preserve">During WWII, at peak colonial power,5 the Bretton Woods conference ,5 established the fnancial and monetary architecture for the post-World War II era, a framework which has controlled the global economy for eight decades and proved more efective than colonial armies in extracting wealth from Global South nations. </w:t>
      </w:r>
      <w:hyperlink r:id="rId21">
        <w:r>
          <w:rPr>
            <w:rStyle w:val="Hipervnculo"/>
          </w:rPr>
          <w:t>(p. 2)</w:t>
        </w:r>
      </w:hyperlink>
    </w:p>
    <w:p w14:paraId="384EBE31" w14:textId="77777777" w:rsidR="009C64F5" w:rsidRDefault="00000000">
      <w:pPr>
        <w:pStyle w:val="Textoindependiente"/>
      </w:pPr>
      <w:r>
        <w:t>For the author, the Bretton Woods finantial institutions opperetely "more effective" than the colonial armies of pure militarism.</w:t>
      </w:r>
    </w:p>
    <w:p w14:paraId="3FE331F2" w14:textId="77777777" w:rsidR="009C64F5" w:rsidRDefault="00000000">
      <w:pPr>
        <w:pStyle w:val="Textoindependiente"/>
      </w:pPr>
      <w:r>
        <w:rPr>
          <w:noProof/>
        </w:rPr>
        <w:drawing>
          <wp:inline distT="0" distB="0" distL="0" distR="0" wp14:anchorId="28668D83" wp14:editId="014FAC1E">
            <wp:extent cx="228600" cy="2286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09FFEA15" w14:textId="77777777" w:rsidR="009C64F5" w:rsidRDefault="00000000">
      <w:pPr>
        <w:pStyle w:val="Textoindependiente"/>
      </w:pPr>
      <w:r>
        <w:t>Quote</w:t>
      </w:r>
    </w:p>
    <w:p w14:paraId="39C3E0F3" w14:textId="77777777" w:rsidR="009C64F5" w:rsidRDefault="00000000">
      <w:pPr>
        <w:pStyle w:val="Textoindependiente"/>
      </w:pPr>
      <w:r>
        <w:t>How this statements could be discussed, contested or modified by the magnitude of militarism displayed by the colonial methods of dispossession and genocide for "original accumulation".?</w:t>
      </w:r>
    </w:p>
    <w:p w14:paraId="2A99A265" w14:textId="77777777" w:rsidR="009C64F5" w:rsidRDefault="00000000">
      <w:pPr>
        <w:pStyle w:val="Textoindependiente"/>
      </w:pPr>
      <w:r>
        <w:rPr>
          <w:noProof/>
        </w:rPr>
        <w:drawing>
          <wp:inline distT="0" distB="0" distL="0" distR="0" wp14:anchorId="688A9FFC" wp14:editId="29288361">
            <wp:extent cx="228600" cy="2286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2F7C78B" w14:textId="77777777" w:rsidR="009C64F5" w:rsidRDefault="00000000">
      <w:pPr>
        <w:pStyle w:val="Textoindependiente"/>
      </w:pPr>
      <w:r>
        <w:t>Quote</w:t>
      </w:r>
    </w:p>
    <w:p w14:paraId="56AF0AF1" w14:textId="77777777" w:rsidR="009C64F5" w:rsidRDefault="00000000">
      <w:pPr>
        <w:pStyle w:val="Textoindependiente"/>
      </w:pPr>
      <w:r>
        <w:t xml:space="preserve">Post-World War II, decolonization was imposed by the U.S. on the major European colonialist countries, allowing it to tap into the resources and markets of their former colonies. </w:t>
      </w:r>
      <w:hyperlink r:id="rId22">
        <w:r>
          <w:rPr>
            <w:rStyle w:val="Hipervnculo"/>
          </w:rPr>
          <w:t>(p. 2)</w:t>
        </w:r>
      </w:hyperlink>
    </w:p>
    <w:p w14:paraId="1443AB87" w14:textId="77777777" w:rsidR="009C64F5" w:rsidRDefault="00000000">
      <w:pPr>
        <w:pStyle w:val="Textoindependiente"/>
      </w:pPr>
      <w:r>
        <w:t>This statesmen could be prone to dialogue with the interpretation of decolonization as a move favorable for the monopolistic tendency of US imperialism.</w:t>
      </w:r>
    </w:p>
    <w:p w14:paraId="031803B5" w14:textId="77777777" w:rsidR="009C64F5" w:rsidRDefault="00000000">
      <w:pPr>
        <w:pStyle w:val="Textoindependiente"/>
      </w:pPr>
      <w:r>
        <w:rPr>
          <w:noProof/>
        </w:rPr>
        <w:drawing>
          <wp:inline distT="0" distB="0" distL="0" distR="0" wp14:anchorId="1244F6B5" wp14:editId="7AB948C1">
            <wp:extent cx="228600" cy="2286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B52E9EE" w14:textId="77777777" w:rsidR="009C64F5" w:rsidRDefault="00000000">
      <w:pPr>
        <w:pStyle w:val="Textoindependiente"/>
      </w:pPr>
      <w:r>
        <w:t>Quote</w:t>
      </w:r>
    </w:p>
    <w:p w14:paraId="46E52BA0" w14:textId="77777777" w:rsidR="009C64F5" w:rsidRDefault="00000000">
      <w:pPr>
        <w:pStyle w:val="Textoindependiente"/>
      </w:pPr>
      <w:r>
        <w:t xml:space="preserve">Therefore, while China, North Korea, Cuba, Vietnam, and later the Islamic Republic in Iran, and even later Venezuela and Nicaragua, were able to pursue their own independent development models, most decolonized countries could not. </w:t>
      </w:r>
      <w:hyperlink r:id="rId23">
        <w:r>
          <w:rPr>
            <w:rStyle w:val="Hipervnculo"/>
          </w:rPr>
          <w:t>(p. 3)</w:t>
        </w:r>
      </w:hyperlink>
    </w:p>
    <w:p w14:paraId="60C773A3" w14:textId="77777777" w:rsidR="009C64F5" w:rsidRDefault="00000000">
      <w:pPr>
        <w:pStyle w:val="Textoindependiente"/>
      </w:pPr>
      <w:r>
        <w:t xml:space="preserve">These independent development models under West global hegemony can be identified as capitalist states, as another state under the control of certain fraction of capitalists.I'm curious about how these capitalists states with "independent" development models" are embedded. As it is not a difference on the mode of production, but a device for capital accumulation. In this sense, the fall of USSR which implied the West imperialist intervention under Khrushchev, is an interesting point to identify the mechanism which explains its function in the global hegemony and its crisis. But most important in the whole process of capitalist production. I remember </w:t>
      </w:r>
      <w:r>
        <w:lastRenderedPageBreak/>
        <w:t>that Mandel's work on the political economy of the USSR from the perspective of Ospina showed some lights over this period and dynamic.</w:t>
      </w:r>
    </w:p>
    <w:p w14:paraId="5EAC1E3D" w14:textId="77777777" w:rsidR="009C64F5" w:rsidRDefault="00000000">
      <w:pPr>
        <w:pStyle w:val="Textoindependiente"/>
      </w:pPr>
      <w:r>
        <w:rPr>
          <w:noProof/>
        </w:rPr>
        <w:drawing>
          <wp:inline distT="0" distB="0" distL="0" distR="0" wp14:anchorId="31290D80" wp14:editId="0EF7A4DF">
            <wp:extent cx="228600" cy="2286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0C10E4D4" w14:textId="77777777" w:rsidR="009C64F5" w:rsidRDefault="00000000">
      <w:pPr>
        <w:pStyle w:val="Textoindependiente"/>
      </w:pPr>
      <w:r>
        <w:t>Quote</w:t>
      </w:r>
    </w:p>
    <w:p w14:paraId="7F27443F" w14:textId="77777777" w:rsidR="009C64F5" w:rsidRDefault="00000000">
      <w:pPr>
        <w:pStyle w:val="Textoindependiente"/>
      </w:pPr>
      <w:r>
        <w:t xml:space="preserve">Some countries temporarily on the frontline of the Cold War geopolitical divide, such as West Germany, Japan and South Korea, were allowed unhindered development as part of a geopolitical strategy for keeping them within the Western orbit while curbing the advance of communism and managed to achieve outstanding economic growth. However, being pseudo-independent nations, when that political necessity was removed, they were ‘cut back to size’ using Bretton Woods instruments, as will be discussed later. </w:t>
      </w:r>
      <w:hyperlink r:id="rId24">
        <w:r>
          <w:rPr>
            <w:rStyle w:val="Hipervnculo"/>
          </w:rPr>
          <w:t>(p. 3)</w:t>
        </w:r>
      </w:hyperlink>
    </w:p>
    <w:p w14:paraId="20721DAC" w14:textId="77777777" w:rsidR="009C64F5" w:rsidRDefault="00000000">
      <w:pPr>
        <w:pStyle w:val="Textoindependiente"/>
      </w:pPr>
      <w:r>
        <w:rPr>
          <w:noProof/>
        </w:rPr>
        <w:drawing>
          <wp:inline distT="0" distB="0" distL="0" distR="0" wp14:anchorId="4D7CA96C" wp14:editId="427C66BB">
            <wp:extent cx="228600" cy="2286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54E921D4" w14:textId="77777777" w:rsidR="009C64F5" w:rsidRDefault="00000000">
      <w:pPr>
        <w:pStyle w:val="Textoindependiente"/>
      </w:pPr>
      <w:r>
        <w:t>Quote</w:t>
      </w:r>
    </w:p>
    <w:p w14:paraId="0EC3B3C3" w14:textId="77777777" w:rsidR="009C64F5" w:rsidRDefault="00000000">
      <w:pPr>
        <w:pStyle w:val="Textoindependiente"/>
      </w:pPr>
      <w:r>
        <w:t xml:space="preserve">Constitutions imposed by the colonial powers. Prior to ‘granting independence,’ the colonial powers imposed constitutions and hence political systems that ensured weak and vulnerable governance by the newly ‘independent’ countries. </w:t>
      </w:r>
      <w:hyperlink r:id="rId25">
        <w:r>
          <w:rPr>
            <w:rStyle w:val="Hipervnculo"/>
          </w:rPr>
          <w:t xml:space="preserve">(p. </w:t>
        </w:r>
        <w:r>
          <w:rPr>
            <w:rStyle w:val="Hipervnculo"/>
          </w:rPr>
          <w:t>3</w:t>
        </w:r>
        <w:r>
          <w:rPr>
            <w:rStyle w:val="Hipervnculo"/>
          </w:rPr>
          <w:t>)</w:t>
        </w:r>
      </w:hyperlink>
    </w:p>
    <w:p w14:paraId="04D3E8FB" w14:textId="77777777" w:rsidR="009C64F5" w:rsidRDefault="00000000">
      <w:pPr>
        <w:pStyle w:val="Textoindependiente"/>
      </w:pPr>
      <w:r>
        <w:t>This idea of regimes of accumulation is based on the institutional structure for certain capitalist accumulation. The Washington Consensus institutional implantation and constitution making presented homogeneously the same interest manifested in the suppression of the constraints for "foreign direct investment", and the institutional regimes of labor exploitation, both main institutional changes were directed toward the monopolistic control of US imperialist capitalists fractions of the TCC. The formal control of the TCC under the management of US headed corporations changed in the beginning of the XXI century toward Canadian, Japanese and Chinese corporations, i.e. large scale mining in Peru. While these changes occurred the imperialist conditions were reinforced with "democratic governability" until the uprisings of Chile and Ecuador in October 2019 when the geopolitical contention escalation with Ukranian conflict around 2014 and 2018 were responded with the neo-liberal authoritarian reversion in the Andean region.</w:t>
      </w:r>
    </w:p>
    <w:p w14:paraId="509D8DF2" w14:textId="77777777" w:rsidR="009C64F5" w:rsidRDefault="00000000">
      <w:pPr>
        <w:pStyle w:val="Textoindependiente"/>
      </w:pPr>
      <w:r>
        <w:rPr>
          <w:noProof/>
        </w:rPr>
        <w:drawing>
          <wp:inline distT="0" distB="0" distL="0" distR="0" wp14:anchorId="397DED40" wp14:editId="2F037782">
            <wp:extent cx="228600" cy="2286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475B4F8F" w14:textId="77777777" w:rsidR="009C64F5" w:rsidRDefault="00000000">
      <w:pPr>
        <w:pStyle w:val="Textoindependiente"/>
      </w:pPr>
      <w:r>
        <w:t>Quote</w:t>
      </w:r>
    </w:p>
    <w:p w14:paraId="15080834" w14:textId="77777777" w:rsidR="009C64F5" w:rsidRDefault="00000000">
      <w:pPr>
        <w:pStyle w:val="Textoindependiente"/>
      </w:pPr>
      <w:r>
        <w:t xml:space="preserve">The Bretton Woods system, which locks countries into a fnancial structure controlled by the West. In particular it requires that central bank governors be ‘independent,’ that is, independent of their governments, but dependent on rules established by the Bank of International Settlements (BIS), at the top of the pyramid in the Bretton Woods system. </w:t>
      </w:r>
      <w:hyperlink r:id="rId26">
        <w:r>
          <w:rPr>
            <w:rStyle w:val="Hipervnculo"/>
          </w:rPr>
          <w:t>(p. 3)</w:t>
        </w:r>
      </w:hyperlink>
    </w:p>
    <w:p w14:paraId="702F71E7" w14:textId="77777777" w:rsidR="009C64F5" w:rsidRDefault="00000000">
      <w:pPr>
        <w:pStyle w:val="Textoindependiente"/>
      </w:pPr>
      <w:r>
        <w:lastRenderedPageBreak/>
        <w:t>The author translated the importance of Bretton Woods financial institutions as the subordination of independent development models countries (China, North Korea, Cuba, Vietnam and Islam Republic) to those instruments of global hegemony.</w:t>
      </w:r>
    </w:p>
    <w:p w14:paraId="6731A1E7" w14:textId="77777777" w:rsidR="009C64F5" w:rsidRDefault="00000000">
      <w:pPr>
        <w:pStyle w:val="Textoindependiente"/>
      </w:pPr>
      <w:r>
        <w:rPr>
          <w:noProof/>
        </w:rPr>
        <w:drawing>
          <wp:inline distT="0" distB="0" distL="0" distR="0" wp14:anchorId="330C861A" wp14:editId="02815F0D">
            <wp:extent cx="228600" cy="2286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761D05D6" w14:textId="77777777" w:rsidR="009C64F5" w:rsidRDefault="00000000">
      <w:pPr>
        <w:pStyle w:val="Textoindependiente"/>
      </w:pPr>
      <w:r>
        <w:t>Quote</w:t>
      </w:r>
    </w:p>
    <w:p w14:paraId="5275EAA9" w14:textId="77777777" w:rsidR="009C64F5" w:rsidRDefault="00000000">
      <w:pPr>
        <w:pStyle w:val="Textoindependiente"/>
      </w:pPr>
      <w:r>
        <w:t xml:space="preserve">The political system: China: Highly centralized allowing rapid adoption and imple- » mentation of development policies. India: A federal parliamentary democracy imposed by the UK » which greatly inhibited implementation of rapid development policies. </w:t>
      </w:r>
      <w:hyperlink r:id="rId27">
        <w:r>
          <w:rPr>
            <w:rStyle w:val="Hipervnculo"/>
          </w:rPr>
          <w:t>(p. 7)</w:t>
        </w:r>
      </w:hyperlink>
    </w:p>
    <w:p w14:paraId="10B8426B" w14:textId="77777777" w:rsidR="009C64F5" w:rsidRDefault="00000000">
      <w:pPr>
        <w:pStyle w:val="Textoindependiente"/>
      </w:pPr>
      <w:r>
        <w:t>The author looks for general features of comparison between the "political system" of China and India. Maybe the main difference is the state capacity of China, as higher than India.</w:t>
      </w:r>
    </w:p>
    <w:p w14:paraId="07D8C15D" w14:textId="77777777" w:rsidR="009C64F5" w:rsidRDefault="00000000">
      <w:pPr>
        <w:pStyle w:val="Textoindependiente"/>
      </w:pPr>
      <w:r>
        <w:rPr>
          <w:noProof/>
        </w:rPr>
        <w:drawing>
          <wp:inline distT="0" distB="0" distL="0" distR="0" wp14:anchorId="382833C4" wp14:editId="7956A8F7">
            <wp:extent cx="228600" cy="2286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217ED2FF" w14:textId="77777777" w:rsidR="009C64F5" w:rsidRDefault="00000000">
      <w:pPr>
        <w:pStyle w:val="Textoindependiente"/>
      </w:pPr>
      <w:r>
        <w:t>Quote</w:t>
      </w:r>
    </w:p>
    <w:p w14:paraId="19713BAF" w14:textId="77777777" w:rsidR="009C64F5" w:rsidRDefault="00000000">
      <w:pPr>
        <w:pStyle w:val="Textoindependiente"/>
      </w:pPr>
      <w:r>
        <w:t xml:space="preserve">The commercial banking sector, a critical factor infuencing national development. China: Commercial banking is dominated by the public sector. » India: Commercial banking is dominated by the private sector. » </w:t>
      </w:r>
      <w:hyperlink r:id="rId28">
        <w:r>
          <w:rPr>
            <w:rStyle w:val="Hipervnculo"/>
          </w:rPr>
          <w:t>(p. 7)</w:t>
        </w:r>
      </w:hyperlink>
    </w:p>
    <w:p w14:paraId="280B6126" w14:textId="77777777" w:rsidR="009C64F5" w:rsidRDefault="00000000">
      <w:pPr>
        <w:pStyle w:val="Textoindependiente"/>
      </w:pPr>
      <w:r>
        <w:t>The rate of profit of money-capital circulation in China required that the internal turn over velocity have to be granted by the highly concentrated capital of the fraction of the TCC which controls the state capitalist Chinese class.</w:t>
      </w:r>
    </w:p>
    <w:p w14:paraId="579AA799" w14:textId="77777777" w:rsidR="009C64F5" w:rsidRDefault="00000000">
      <w:pPr>
        <w:pStyle w:val="Textoindependiente"/>
      </w:pPr>
      <w:r>
        <w:rPr>
          <w:noProof/>
        </w:rPr>
        <w:drawing>
          <wp:inline distT="0" distB="0" distL="0" distR="0" wp14:anchorId="0C9CF682" wp14:editId="7CA9868E">
            <wp:extent cx="228600" cy="2286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31C8CA5" w14:textId="77777777" w:rsidR="009C64F5" w:rsidRDefault="00000000">
      <w:pPr>
        <w:pStyle w:val="Textoindependiente"/>
      </w:pPr>
      <w:r>
        <w:t>Quote</w:t>
      </w:r>
    </w:p>
    <w:p w14:paraId="594C7DA4" w14:textId="77777777" w:rsidR="009C64F5" w:rsidRDefault="00000000">
      <w:pPr>
        <w:pStyle w:val="Textoindependiente"/>
      </w:pPr>
      <w:r>
        <w:t xml:space="preserve">Bear in mind, the GDP data of western countries is subject to gross manipulation, inter alia by infating the services sectors, and more recently and strikingly, by the inclusion of drugs, prostitution and smuggling in GDP data.3 .3 3 T </w:t>
      </w:r>
      <w:hyperlink r:id="rId29">
        <w:r>
          <w:rPr>
            <w:rStyle w:val="Hipervnculo"/>
          </w:rPr>
          <w:t>(p. 9)</w:t>
        </w:r>
      </w:hyperlink>
    </w:p>
    <w:p w14:paraId="667CE567" w14:textId="77777777" w:rsidR="009C64F5" w:rsidRDefault="00000000">
      <w:pPr>
        <w:pStyle w:val="Textoindependiente"/>
      </w:pPr>
      <w:r>
        <w:t>These statement should be described extensively.The inflation as an increment in the price of a commodity can have two or three explanations 1) an increment on its variable or constant components, 2) an increment on the rate of exploitation that becomes surplus value, or 3) an increment in the exchange value price of the commodity that is money and commodity at the same time.</w:t>
      </w:r>
    </w:p>
    <w:p w14:paraId="60797EAD" w14:textId="77777777" w:rsidR="009C64F5" w:rsidRDefault="00000000">
      <w:pPr>
        <w:pStyle w:val="Textoindependiente"/>
      </w:pPr>
      <w:r>
        <w:rPr>
          <w:noProof/>
        </w:rPr>
        <w:drawing>
          <wp:inline distT="0" distB="0" distL="0" distR="0" wp14:anchorId="0E9BF1AC" wp14:editId="0F92FF2C">
            <wp:extent cx="228600" cy="2286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2FFDA005" w14:textId="77777777" w:rsidR="009C64F5" w:rsidRDefault="00000000">
      <w:pPr>
        <w:pStyle w:val="Textoindependiente"/>
      </w:pPr>
      <w:r>
        <w:t>Quote</w:t>
      </w:r>
    </w:p>
    <w:p w14:paraId="2FF0AC3F" w14:textId="77777777" w:rsidR="009C64F5" w:rsidRDefault="00000000">
      <w:pPr>
        <w:pStyle w:val="Textoindependiente"/>
      </w:pPr>
      <w:r>
        <w:t xml:space="preserve">GDP is not a viable measure of economic performance for ‘reserve currency’ nations that can print money out of thin air without risk of signifcant infation or currency devaluation. </w:t>
      </w:r>
      <w:hyperlink r:id="rId30">
        <w:r>
          <w:rPr>
            <w:rStyle w:val="Hipervnculo"/>
          </w:rPr>
          <w:t>(p. 9)</w:t>
        </w:r>
      </w:hyperlink>
    </w:p>
    <w:p w14:paraId="3F0CAADA" w14:textId="77777777" w:rsidR="009C64F5" w:rsidRDefault="00000000">
      <w:pPr>
        <w:pStyle w:val="Textoindependiente"/>
      </w:pPr>
      <w:r>
        <w:lastRenderedPageBreak/>
        <w:t>Why?</w:t>
      </w:r>
    </w:p>
    <w:p w14:paraId="64034F59" w14:textId="77777777" w:rsidR="009C64F5" w:rsidRDefault="00000000">
      <w:pPr>
        <w:pStyle w:val="Textoindependiente"/>
      </w:pPr>
      <w:r>
        <w:rPr>
          <w:noProof/>
        </w:rPr>
        <w:drawing>
          <wp:inline distT="0" distB="0" distL="0" distR="0" wp14:anchorId="1553EA7E" wp14:editId="4F579D65">
            <wp:extent cx="228600" cy="2286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6E080795" w14:textId="77777777" w:rsidR="009C64F5" w:rsidRDefault="00000000">
      <w:pPr>
        <w:pStyle w:val="Textoindependiente"/>
      </w:pPr>
      <w:r>
        <w:t>Quote</w:t>
      </w:r>
    </w:p>
    <w:p w14:paraId="4517E1CE" w14:textId="77777777" w:rsidR="009C64F5" w:rsidRDefault="00000000">
      <w:pPr>
        <w:pStyle w:val="Textoindependiente"/>
      </w:pPr>
      <w:r>
        <w:t xml:space="preserve">It is very clear from the above tables that as far back as 2007: • Chinese exports are about double the total of the leading Western countries. </w:t>
      </w:r>
      <w:hyperlink r:id="rId31">
        <w:r>
          <w:rPr>
            <w:rStyle w:val="Hipervnculo"/>
          </w:rPr>
          <w:t>(p. 11)</w:t>
        </w:r>
      </w:hyperlink>
    </w:p>
    <w:p w14:paraId="403E6D49" w14:textId="77777777" w:rsidR="009C64F5" w:rsidRDefault="00000000">
      <w:pPr>
        <w:pStyle w:val="Textoindependiente"/>
      </w:pPr>
      <w:r>
        <w:rPr>
          <w:noProof/>
        </w:rPr>
        <w:drawing>
          <wp:inline distT="0" distB="0" distL="0" distR="0" wp14:anchorId="6F3DF951" wp14:editId="37927929">
            <wp:extent cx="228600" cy="22860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5F34E01" w14:textId="77777777" w:rsidR="009C64F5" w:rsidRDefault="00000000">
      <w:pPr>
        <w:pStyle w:val="Textoindependiente"/>
      </w:pPr>
      <w:r>
        <w:t>Quote</w:t>
      </w:r>
    </w:p>
    <w:p w14:paraId="520456F3" w14:textId="77777777" w:rsidR="009C64F5" w:rsidRDefault="00000000">
      <w:pPr>
        <w:pStyle w:val="Textoindependiente"/>
      </w:pPr>
      <w:r>
        <w:t xml:space="preserve">Figures 7 and 8 7 track U.S. economic sectors between 1947 and 2009, 7 indicating a signifcant decline in the manufacturing sector since the 1950s, from a peak of 28% down to 12% in 2009. </w:t>
      </w:r>
      <w:hyperlink r:id="rId32">
        <w:r>
          <w:rPr>
            <w:rStyle w:val="Hipervnculo"/>
          </w:rPr>
          <w:t>(p. 12)</w:t>
        </w:r>
      </w:hyperlink>
    </w:p>
    <w:p w14:paraId="0B889946" w14:textId="77777777" w:rsidR="009C64F5" w:rsidRDefault="00000000">
      <w:pPr>
        <w:pStyle w:val="Textoindependiente"/>
      </w:pPr>
      <w:r>
        <w:t>The "financial crisis" of 2008/2009 coincide with this down peak of US decline in the manufacturing sector. The author points to the growth of China manufacturing sector in relation with this dynamic but I'm not sure about his explanation.</w:t>
      </w:r>
    </w:p>
    <w:p w14:paraId="126CC29D" w14:textId="77777777" w:rsidR="009C64F5" w:rsidRDefault="00000000">
      <w:pPr>
        <w:pStyle w:val="Textoindependiente"/>
      </w:pPr>
      <w:r>
        <w:rPr>
          <w:noProof/>
        </w:rPr>
        <w:drawing>
          <wp:inline distT="0" distB="0" distL="0" distR="0" wp14:anchorId="093EE08E" wp14:editId="4C396613">
            <wp:extent cx="228600" cy="228600"/>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7172ACA4" w14:textId="77777777" w:rsidR="009C64F5" w:rsidRDefault="00000000">
      <w:pPr>
        <w:pStyle w:val="Textoindependiente"/>
      </w:pPr>
      <w:r>
        <w:t>Quote</w:t>
      </w:r>
    </w:p>
    <w:p w14:paraId="575604D7" w14:textId="77777777" w:rsidR="009C64F5" w:rsidRDefault="00000000">
      <w:pPr>
        <w:pStyle w:val="Textoindependiente"/>
      </w:pPr>
      <w:r>
        <w:t xml:space="preserve">The fallacy of GDP data was illustrated in the Ukraine war. When Ukraine ran out of weapons and munitions, the U.S., UK, EU, and Canada scrambled to the rescue, depleting their own stocks. But then, their combined defense industries were unable to continue to produce the needed equipment and ammunitions at the rate Ukraine was using them,8 even though Ukraine was expending only a fraction of same com- ,8 pared to Russia.9 .9 </w:t>
      </w:r>
      <w:hyperlink r:id="rId33">
        <w:r>
          <w:rPr>
            <w:rStyle w:val="Hipervnculo"/>
          </w:rPr>
          <w:t>(p. 13)</w:t>
        </w:r>
      </w:hyperlink>
    </w:p>
    <w:p w14:paraId="1A04904A" w14:textId="77777777" w:rsidR="009C64F5" w:rsidRDefault="00000000">
      <w:pPr>
        <w:pStyle w:val="Textoindependiente"/>
      </w:pPr>
      <w:r>
        <w:t>There was a common assumption among US advisors on IR, which stated openly but with limited evidence (updated data) that the military capacity of Russia in the Ukranian conflict would be overpassed by the US war technology, also considering that the magnitude of the military capacity already applied by Russia was evidencing a drift. The employment of West military stocks in the Ukranian conflict and then the inability to continue producing weapons as the Ukrania conflict demanded could evidence the reservation of that capacity for further development of the escalation of geopolitical contention. But also a limit on the capitalist production of means of destruction, which couldn't be solved by only mechanisms for increment of rate profit rise overpassing the circuit of capital reproduction.</w:t>
      </w:r>
    </w:p>
    <w:p w14:paraId="3C2014BD" w14:textId="77777777" w:rsidR="009C64F5" w:rsidRDefault="00000000">
      <w:pPr>
        <w:pStyle w:val="Textoindependiente"/>
      </w:pPr>
      <w:r>
        <w:rPr>
          <w:noProof/>
        </w:rPr>
        <w:drawing>
          <wp:inline distT="0" distB="0" distL="0" distR="0" wp14:anchorId="510DD379" wp14:editId="1A76AA5E">
            <wp:extent cx="228600" cy="228600"/>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data:image/png;base64,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"/>
                    <pic:cNvPicPr>
                      <a:picLocks noChangeAspect="1" noChangeArrowheads="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14:paraId="35C876CB" w14:textId="77777777" w:rsidR="009C64F5" w:rsidRDefault="00000000">
      <w:pPr>
        <w:pStyle w:val="Textoindependiente"/>
      </w:pPr>
      <w:r>
        <w:t>Quote</w:t>
      </w:r>
    </w:p>
    <w:p w14:paraId="6682254E" w14:textId="77777777" w:rsidR="009C64F5" w:rsidRDefault="00000000">
      <w:pPr>
        <w:pStyle w:val="Textoindependiente"/>
      </w:pPr>
      <w:r>
        <w:t xml:space="preserve">GDP, PCI, Gini coefcient, credit ratings, stock valuations, infation fgures are mostly refections of a virtual reality, as will be discussed in this book. When virtual reality </w:t>
      </w:r>
      <w:r>
        <w:lastRenderedPageBreak/>
        <w:t xml:space="preserve">meets reality on the battleground, T-Bills and ETFs stand little chance against fying missiles and artillery shells. </w:t>
      </w:r>
      <w:hyperlink r:id="rId34">
        <w:r>
          <w:rPr>
            <w:rStyle w:val="Hipervnculo"/>
          </w:rPr>
          <w:t>(p. 13)</w:t>
        </w:r>
      </w:hyperlink>
    </w:p>
    <w:p w14:paraId="29DE2031" w14:textId="77777777" w:rsidR="009C64F5" w:rsidRDefault="00000000">
      <w:pPr>
        <w:pStyle w:val="Textoindependiente"/>
      </w:pPr>
      <w:r>
        <w:t xml:space="preserve">What is emphasized is that international war bring periods of enforcement on the conditions of material expansion. The magnitude of capital invested in military consumption was increasing already after the USSR fall, but the magnitude of money-capital which is expecting the right opportunity to be invested in the military </w:t>
      </w:r>
      <w:proofErr w:type="gramStart"/>
      <w:r>
        <w:t>large scale</w:t>
      </w:r>
      <w:proofErr w:type="gramEnd"/>
      <w:r>
        <w:t xml:space="preserve"> industry of the WW3 would be incomparable.</w:t>
      </w:r>
      <w:r>
        <w:br/>
      </w:r>
    </w:p>
    <w:p w14:paraId="59A4C3D0" w14:textId="77777777" w:rsidR="008E59DB" w:rsidRDefault="008E59DB">
      <w:pPr>
        <w:pStyle w:val="Textoindependiente"/>
      </w:pPr>
    </w:p>
    <w:p w14:paraId="20A0F16B" w14:textId="025004DC" w:rsidR="008E59DB" w:rsidRDefault="008E59DB">
      <w:pPr>
        <w:pStyle w:val="Textoindependiente"/>
      </w:pPr>
      <w:r>
        <w:t>POST MEMO 2</w:t>
      </w:r>
    </w:p>
    <w:p w14:paraId="233B0DF4" w14:textId="77777777" w:rsidR="008E59DB" w:rsidRDefault="008E59DB">
      <w:pPr>
        <w:pStyle w:val="Textoindependiente"/>
      </w:pPr>
    </w:p>
    <w:p w14:paraId="3F1BD255" w14:textId="09637C83" w:rsidR="008E59DB" w:rsidRDefault="008E59DB">
      <w:pPr>
        <w:pStyle w:val="Textoindependiente"/>
      </w:pPr>
      <w:r>
        <w:t>Q1. H</w:t>
      </w:r>
      <w:r>
        <w:t xml:space="preserve">ow these </w:t>
      </w:r>
      <w:r>
        <w:t>countries</w:t>
      </w:r>
      <w:r>
        <w:t xml:space="preserve"> </w:t>
      </w:r>
      <w:r>
        <w:t xml:space="preserve">which have </w:t>
      </w:r>
      <w:r>
        <w:t>"independent" development models</w:t>
      </w:r>
      <w:r>
        <w:t xml:space="preserve"> </w:t>
      </w:r>
      <w:r>
        <w:t>are embedded</w:t>
      </w:r>
      <w:r>
        <w:t xml:space="preserve"> in the globalized economy under the Western global hegemony?</w:t>
      </w:r>
    </w:p>
    <w:p w14:paraId="6511F7B3" w14:textId="10ABD8F7" w:rsidR="008E59DB" w:rsidRDefault="008E59DB" w:rsidP="008E59DB">
      <w:pPr>
        <w:pStyle w:val="Textoindependiente"/>
      </w:pPr>
      <w:r>
        <w:t xml:space="preserve">A1. </w:t>
      </w:r>
      <w:r>
        <w:t xml:space="preserve">These </w:t>
      </w:r>
      <w:r w:rsidR="007A1A89">
        <w:t>“</w:t>
      </w:r>
      <w:r>
        <w:t>independent development models</w:t>
      </w:r>
      <w:r w:rsidR="007A1A89">
        <w:t>”</w:t>
      </w:r>
      <w:r>
        <w:t xml:space="preserve"> under West</w:t>
      </w:r>
      <w:r w:rsidR="007A1A89">
        <w:t>ern</w:t>
      </w:r>
      <w:r>
        <w:t xml:space="preserve"> global hegemony can be identified as capitalist states, as</w:t>
      </w:r>
      <w:r w:rsidR="007A1A89">
        <w:t xml:space="preserve"> national</w:t>
      </w:r>
      <w:r>
        <w:t xml:space="preserve"> </w:t>
      </w:r>
      <w:r w:rsidR="007A1A89">
        <w:t xml:space="preserve">states </w:t>
      </w:r>
      <w:r>
        <w:t>under the control of certain fraction of</w:t>
      </w:r>
      <w:r w:rsidR="007A1A89">
        <w:t xml:space="preserve"> the US/EU financial capital by the subordination of a domestic bureaucracy. </w:t>
      </w:r>
      <w:r>
        <w:t xml:space="preserve">As </w:t>
      </w:r>
      <w:r w:rsidR="007A1A89">
        <w:t>the</w:t>
      </w:r>
      <w:r>
        <w:t xml:space="preserve"> difference </w:t>
      </w:r>
      <w:r w:rsidR="007A1A89">
        <w:t xml:space="preserve">between these national states with “independent development models” and the other national states which </w:t>
      </w:r>
      <w:r w:rsidR="00975E90">
        <w:t>would</w:t>
      </w:r>
      <w:r w:rsidR="007A1A89">
        <w:t xml:space="preserve"> be separated </w:t>
      </w:r>
      <w:r w:rsidR="00975E90">
        <w:t>analytically</w:t>
      </w:r>
      <w:r w:rsidR="007A1A89">
        <w:t xml:space="preserve"> from this subset of countries, is not based </w:t>
      </w:r>
      <w:r>
        <w:t>on</w:t>
      </w:r>
      <w:r w:rsidR="00975E90">
        <w:t xml:space="preserve"> a difference in the </w:t>
      </w:r>
      <w:r>
        <w:t>mode of production</w:t>
      </w:r>
      <w:r w:rsidR="00975E90">
        <w:t xml:space="preserve"> but particularly assembled in the globalized capitalist economy</w:t>
      </w:r>
      <w:r>
        <w:t>.</w:t>
      </w:r>
      <w:r w:rsidR="00975E90">
        <w:t xml:space="preserve"> The features of the regime of accumulation which applied to these countries could be differentiated in specific features as the agreement of holding the US dollar as the hegemonic currency, and their geopolitical attachment to the political institutions and international organizations of global hegemony.</w:t>
      </w:r>
    </w:p>
    <w:p w14:paraId="23ED6F6C" w14:textId="0D2A5E44" w:rsidR="008E59DB" w:rsidRDefault="00975E90">
      <w:pPr>
        <w:pStyle w:val="Textoindependiente"/>
      </w:pPr>
      <w:r>
        <w:t xml:space="preserve">Q2. Which is the main difference </w:t>
      </w:r>
      <w:r w:rsidR="00663EAD">
        <w:t xml:space="preserve">in the political systems </w:t>
      </w:r>
      <w:r>
        <w:t>between India and China as “semi-independent development model” and “independent development model”</w:t>
      </w:r>
      <w:r w:rsidR="00663EAD">
        <w:t xml:space="preserve"> respectively?</w:t>
      </w:r>
    </w:p>
    <w:p w14:paraId="185C3315" w14:textId="4BD4FD61" w:rsidR="00663EAD" w:rsidRDefault="00663EAD">
      <w:pPr>
        <w:pStyle w:val="Textoindependiente"/>
      </w:pPr>
      <w:r>
        <w:t xml:space="preserve">A2. The </w:t>
      </w:r>
      <w:r w:rsidRPr="00663EAD">
        <w:t>main difference is the state capacity of China, as higher than India.</w:t>
      </w:r>
      <w:r>
        <w:t xml:space="preserve"> State capacity as the power of enforcement of authority over populations inside the territorial boundaries of its political regime could be the main feature of difference. The political fragmentation of India is severe, while in China the political concentration is a huge-term process.</w:t>
      </w:r>
    </w:p>
    <w:p w14:paraId="119E6298" w14:textId="404EECE3" w:rsidR="00663EAD" w:rsidRDefault="00663EAD" w:rsidP="003E5D07">
      <w:pPr>
        <w:pStyle w:val="Compact"/>
      </w:pPr>
      <w:r>
        <w:t xml:space="preserve">Q3. </w:t>
      </w:r>
      <w:r w:rsidR="00F40560">
        <w:t>Lama stated: “[w]</w:t>
      </w:r>
      <w:r w:rsidR="00F40560" w:rsidRPr="00F40560">
        <w:t>hen Ukraine ran out of weapons and munitions, the U.S., UK, EU, and</w:t>
      </w:r>
      <w:r w:rsidR="00F40560">
        <w:t xml:space="preserve"> </w:t>
      </w:r>
      <w:r w:rsidR="00F40560">
        <w:t xml:space="preserve">Canada scrambled to the rescue, depleting their own stocks. But then, their combined defense industries were unable to continue to produce the needed equipment and ammunitions at the rate Ukraine was using </w:t>
      </w:r>
      <w:r w:rsidR="003E5D07">
        <w:t>them, even</w:t>
      </w:r>
      <w:r w:rsidR="00F40560">
        <w:t xml:space="preserve"> though Ukraine was expending only a fraction of same com</w:t>
      </w:r>
      <w:r w:rsidR="00F40560">
        <w:softHyphen/>
        <w:t>pared to Russia</w:t>
      </w:r>
      <w:r w:rsidR="003E5D07">
        <w:t>”. How this observation could be explained from a global political economy perspective?</w:t>
      </w:r>
    </w:p>
    <w:p w14:paraId="475087AE" w14:textId="77777777" w:rsidR="003E5D07" w:rsidRDefault="003E5D07" w:rsidP="003E5D07">
      <w:pPr>
        <w:pStyle w:val="Compact"/>
      </w:pPr>
    </w:p>
    <w:p w14:paraId="1F891CAC" w14:textId="0E02F175" w:rsidR="003E5D07" w:rsidRDefault="003E5D07" w:rsidP="003E5D07">
      <w:pPr>
        <w:pStyle w:val="Compact"/>
      </w:pPr>
      <w:r>
        <w:lastRenderedPageBreak/>
        <w:t xml:space="preserve">A3. </w:t>
      </w:r>
      <w:r>
        <w:t xml:space="preserve">There was a common assumption among US advisors on IR, which stated openly but with limited evidence (updated data) that the military capacity of Russia in the Ukrainian conflict would be overpassed by the US war technology, also considering that the magnitude of the military capacity already applied by Russia was evidencing a drought. The employment of Western military stocks in the Ukrainian conflict and then the inability to continue producing weapons </w:t>
      </w:r>
      <w:r>
        <w:t>with the acceleration that</w:t>
      </w:r>
      <w:r>
        <w:t xml:space="preserve"> the Ukrainian conflict demand</w:t>
      </w:r>
      <w:r>
        <w:t>ed</w:t>
      </w:r>
      <w:r>
        <w:t xml:space="preserve"> could evidence the reservation of that capacity for further development of the escalation of geopolitical contention. But </w:t>
      </w:r>
      <w:r>
        <w:t>also,</w:t>
      </w:r>
      <w:r>
        <w:t xml:space="preserve"> a limit on the capitalist production of means of destruction, which couldn't be solved by only mechanisms for increment of rate profit overpassing the circuit of capital reproduction.</w:t>
      </w:r>
    </w:p>
    <w:p w14:paraId="4685B12A" w14:textId="77777777" w:rsidR="003E5D07" w:rsidRDefault="003E5D07" w:rsidP="003E5D07">
      <w:pPr>
        <w:pStyle w:val="Compact"/>
      </w:pPr>
    </w:p>
    <w:bookmarkEnd w:id="3"/>
    <w:p w14:paraId="43A1FD43" w14:textId="77777777" w:rsidR="003E5D07" w:rsidRDefault="003E5D07" w:rsidP="003E5D07">
      <w:pPr>
        <w:pStyle w:val="Compact"/>
      </w:pPr>
    </w:p>
    <w:sectPr w:rsidR="003E5D0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CDCC9" w14:textId="77777777" w:rsidR="008448FC" w:rsidRDefault="008448FC">
      <w:pPr>
        <w:spacing w:after="0"/>
      </w:pPr>
      <w:r>
        <w:separator/>
      </w:r>
    </w:p>
  </w:endnote>
  <w:endnote w:type="continuationSeparator" w:id="0">
    <w:p w14:paraId="79D0E620" w14:textId="77777777" w:rsidR="008448FC" w:rsidRDefault="008448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66D95" w14:textId="77777777" w:rsidR="008448FC" w:rsidRDefault="008448FC">
      <w:r>
        <w:separator/>
      </w:r>
    </w:p>
  </w:footnote>
  <w:footnote w:type="continuationSeparator" w:id="0">
    <w:p w14:paraId="1DFEBF3C" w14:textId="77777777" w:rsidR="008448FC" w:rsidRDefault="00844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DA271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277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64F5"/>
    <w:rsid w:val="003E5D07"/>
    <w:rsid w:val="00663EAD"/>
    <w:rsid w:val="007A1A89"/>
    <w:rsid w:val="008448FC"/>
    <w:rsid w:val="008E59DB"/>
    <w:rsid w:val="00975E90"/>
    <w:rsid w:val="009C64F5"/>
    <w:rsid w:val="00A33F35"/>
    <w:rsid w:val="00F405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7E1C"/>
  <w15:docId w15:val="{C9E7501C-E243-46B1-A14F-EA29AEECA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Hipervnculovisitado">
    <w:name w:val="FollowedHyperlink"/>
    <w:basedOn w:val="Fuentedeprrafopredeter"/>
    <w:rsid w:val="008E59DB"/>
    <w:rPr>
      <w:color w:val="800080" w:themeColor="followedHyperlink"/>
      <w:u w:val="single"/>
    </w:rPr>
  </w:style>
  <w:style w:type="character" w:customStyle="1" w:styleId="A11">
    <w:name w:val="A11"/>
    <w:uiPriority w:val="99"/>
    <w:rsid w:val="00F40560"/>
    <w:rPr>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zotero://open-pdf/library/items/THN9H58H?page=xviii&amp;annotation=highlight-p19x59y459" TargetMode="External"/><Relationship Id="rId18" Type="http://schemas.openxmlformats.org/officeDocument/2006/relationships/hyperlink" Target="zotero://open-pdf/library/items/THN9H58H?page=xviii&amp;annotation=highlight-p19x59y88" TargetMode="External"/><Relationship Id="rId26" Type="http://schemas.openxmlformats.org/officeDocument/2006/relationships/hyperlink" Target="zotero://open-pdf/library/items/THN9H58H?page=3&amp;annotation=highlight-p22x76y109" TargetMode="External"/><Relationship Id="rId3" Type="http://schemas.openxmlformats.org/officeDocument/2006/relationships/settings" Target="settings.xml"/><Relationship Id="rId21" Type="http://schemas.openxmlformats.org/officeDocument/2006/relationships/hyperlink" Target="zotero://open-pdf/library/items/THN9H58H?page=2&amp;annotation=highlight-p21x50y207" TargetMode="External"/><Relationship Id="rId34" Type="http://schemas.openxmlformats.org/officeDocument/2006/relationships/hyperlink" Target="zotero://open-pdf/library/items/THN9H58H?page=13&amp;annotation=highlight-p32x59y60" TargetMode="External"/><Relationship Id="rId7" Type="http://schemas.openxmlformats.org/officeDocument/2006/relationships/hyperlink" Target="http://zotero.org/users/4081719/items/DT8MMANF" TargetMode="External"/><Relationship Id="rId12" Type="http://schemas.openxmlformats.org/officeDocument/2006/relationships/hyperlink" Target="zotero://open-pdf/library/items/THN9H58H?page=xvii&amp;annotation=highlight-p18x50y79" TargetMode="External"/><Relationship Id="rId17" Type="http://schemas.openxmlformats.org/officeDocument/2006/relationships/hyperlink" Target="zotero://open-pdf/library/items/THN9H58H?page=xviii&amp;annotation=highlight-p19x59y151" TargetMode="External"/><Relationship Id="rId25" Type="http://schemas.openxmlformats.org/officeDocument/2006/relationships/hyperlink" Target="zotero://open-pdf/library/items/THN9H58H?page=3&amp;annotation=highlight-p22x76y200" TargetMode="External"/><Relationship Id="rId33" Type="http://schemas.openxmlformats.org/officeDocument/2006/relationships/hyperlink" Target="zotero://open-pdf/library/items/THN9H58H?page=13&amp;annotation=highlight-p32x59y312" TargetMode="External"/><Relationship Id="rId2" Type="http://schemas.openxmlformats.org/officeDocument/2006/relationships/styles" Target="styles.xml"/><Relationship Id="rId16" Type="http://schemas.openxmlformats.org/officeDocument/2006/relationships/hyperlink" Target="zotero://open-pdf/library/items/THN9H58H?page=xviii&amp;annotation=highlight-p19x77y340" TargetMode="External"/><Relationship Id="rId20" Type="http://schemas.openxmlformats.org/officeDocument/2006/relationships/hyperlink" Target="zotero://open-pdf/library/items/THN9H58H?page=2&amp;annotation=highlight-p21x50y522" TargetMode="External"/><Relationship Id="rId29" Type="http://schemas.openxmlformats.org/officeDocument/2006/relationships/hyperlink" Target="zotero://open-pdf/library/items/THN9H58H?page=9&amp;annotation=highlight-p28x59y22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zotero://open-pdf/library/items/THN9H58H?page=xvii&amp;annotation=highlight-p18x50y436" TargetMode="External"/><Relationship Id="rId24" Type="http://schemas.openxmlformats.org/officeDocument/2006/relationships/hyperlink" Target="zotero://open-pdf/library/items/THN9H58H?page=3&amp;annotation=highlight-p22x59y298" TargetMode="External"/><Relationship Id="rId32" Type="http://schemas.openxmlformats.org/officeDocument/2006/relationships/hyperlink" Target="zotero://open-pdf/library/items/THN9H58H?page=12&amp;annotation=highlight-p31x50y536" TargetMode="External"/><Relationship Id="rId5" Type="http://schemas.openxmlformats.org/officeDocument/2006/relationships/footnotes" Target="footnotes.xml"/><Relationship Id="rId15" Type="http://schemas.openxmlformats.org/officeDocument/2006/relationships/hyperlink" Target="zotero://open-pdf/library/items/THN9H58H?page=xviii&amp;annotation=highlight-p19x77y375" TargetMode="External"/><Relationship Id="rId23" Type="http://schemas.openxmlformats.org/officeDocument/2006/relationships/hyperlink" Target="zotero://open-pdf/library/items/THN9H58H?page=3&amp;annotation=highlight-p22x59y417" TargetMode="External"/><Relationship Id="rId28" Type="http://schemas.openxmlformats.org/officeDocument/2006/relationships/hyperlink" Target="zotero://open-pdf/library/items/THN9H58H?page=7&amp;annotation=highlight-p26x77y368" TargetMode="External"/><Relationship Id="rId36" Type="http://schemas.openxmlformats.org/officeDocument/2006/relationships/theme" Target="theme/theme1.xml"/><Relationship Id="rId10" Type="http://schemas.openxmlformats.org/officeDocument/2006/relationships/hyperlink" Target="zotero://open-pdf/library/items/THN9H58H?page=xvii&amp;annotation=highlight-p18x50y485" TargetMode="External"/><Relationship Id="rId19" Type="http://schemas.openxmlformats.org/officeDocument/2006/relationships/hyperlink" Target="zotero://open-pdf/library/items/THN9H58H?page=1&amp;annotation=highlight-p20x59y455" TargetMode="External"/><Relationship Id="rId31" Type="http://schemas.openxmlformats.org/officeDocument/2006/relationships/hyperlink" Target="zotero://open-pdf/library/items/THN9H58H?page=11&amp;annotation=highlight-p30x59y9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zotero://open-pdf/library/items/THN9H58H?page=xviii&amp;annotation=highlight-p19x59y431" TargetMode="External"/><Relationship Id="rId22" Type="http://schemas.openxmlformats.org/officeDocument/2006/relationships/hyperlink" Target="zotero://open-pdf/library/items/THN9H58H?page=2&amp;annotation=highlight-p21x50y117" TargetMode="External"/><Relationship Id="rId27" Type="http://schemas.openxmlformats.org/officeDocument/2006/relationships/hyperlink" Target="zotero://open-pdf/library/items/THN9H58H?page=7&amp;annotation=highlight-p26x77y445" TargetMode="External"/><Relationship Id="rId30" Type="http://schemas.openxmlformats.org/officeDocument/2006/relationships/hyperlink" Target="zotero://open-pdf/library/items/THN9H58H?page=9&amp;annotation=highlight-p28x59y66" TargetMode="External"/><Relationship Id="rId35" Type="http://schemas.openxmlformats.org/officeDocument/2006/relationships/fontTable" Target="fontTable.xml"/><Relationship Id="rId8" Type="http://schemas.openxmlformats.org/officeDocument/2006/relationships/hyperlink" Target="zotero://select/library/items/DT8MMAN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2949</Words>
  <Characters>16220</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Why the West can't win: from Bretton Woods to a multipolar world</vt:lpstr>
    </vt:vector>
  </TitlesOfParts>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the West can't win: from Bretton Woods to a multipolar world</dc:title>
  <dc:creator>Lama, Fadi</dc:creator>
  <cp:keywords/>
  <cp:lastModifiedBy>51964</cp:lastModifiedBy>
  <cp:revision>3</cp:revision>
  <dcterms:created xsi:type="dcterms:W3CDTF">2024-01-23T20:59:00Z</dcterms:created>
  <dcterms:modified xsi:type="dcterms:W3CDTF">2024-01-23T23:35:00Z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key">
    <vt:lpwstr>lamaWhyWestCan2023</vt:lpwstr>
  </property>
  <property fmtid="{D5CDD505-2E9C-101B-9397-08002B2CF9AE}" pid="3" name="cssclass">
    <vt:lpwstr>research-note</vt:lpwstr>
  </property>
  <property fmtid="{D5CDD505-2E9C-101B-9397-08002B2CF9AE}" pid="4" name="date">
    <vt:lpwstr>2023-01-01</vt:lpwstr>
  </property>
  <property fmtid="{D5CDD505-2E9C-101B-9397-08002B2CF9AE}" pid="5" name="type">
    <vt:lpwstr>book</vt:lpwstr>
  </property>
</Properties>
</file>