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1A0EA" w14:textId="77777777" w:rsidR="00A006EE" w:rsidRPr="009E1FD3" w:rsidRDefault="00000000">
      <w:pPr>
        <w:rPr>
          <w:lang w:val="es-PE"/>
        </w:rPr>
      </w:pPr>
      <w:r w:rsidRPr="009E1FD3">
        <w:rPr>
          <w:rFonts w:ascii="Arial" w:eastAsia="Arial" w:hAnsi="Arial" w:cs="Arial"/>
          <w:b/>
          <w:bCs/>
          <w:lang w:val="es-PE"/>
        </w:rPr>
        <w:t>Informe de comparación</w:t>
      </w:r>
    </w:p>
    <w:p w14:paraId="1866DBDF" w14:textId="77777777" w:rsidR="00A006EE" w:rsidRPr="009E1FD3" w:rsidRDefault="00000000">
      <w:pPr>
        <w:rPr>
          <w:lang w:val="es-PE"/>
        </w:rPr>
      </w:pPr>
      <w:r w:rsidRPr="009E1FD3">
        <w:rPr>
          <w:rFonts w:ascii="Arial" w:eastAsia="Arial" w:hAnsi="Arial" w:cs="Arial"/>
          <w:lang w:val="es-PE"/>
        </w:rPr>
        <w:t xml:space="preserve">Este documento ha sido creado por ABBYY Comparar documentos (ABBYY </w:t>
      </w:r>
      <w:proofErr w:type="spellStart"/>
      <w:r w:rsidRPr="009E1FD3">
        <w:rPr>
          <w:rFonts w:ascii="Arial" w:eastAsia="Arial" w:hAnsi="Arial" w:cs="Arial"/>
          <w:lang w:val="es-PE"/>
        </w:rPr>
        <w:t>FineReader</w:t>
      </w:r>
      <w:proofErr w:type="spellEnd"/>
      <w:r w:rsidRPr="009E1FD3">
        <w:rPr>
          <w:rFonts w:ascii="Arial" w:eastAsia="Arial" w:hAnsi="Arial" w:cs="Arial"/>
          <w:lang w:val="es-PE"/>
        </w:rPr>
        <w:t xml:space="preserve"> PDF 15, Compilación 15.0.114.4683)</w:t>
      </w:r>
    </w:p>
    <w:p w14:paraId="3D0DA997" w14:textId="77777777" w:rsidR="00A006EE" w:rsidRPr="009E1FD3" w:rsidRDefault="00A006EE">
      <w:pPr>
        <w:rPr>
          <w:lang w:val="es-PE"/>
        </w:rPr>
      </w:pPr>
    </w:p>
    <w:p w14:paraId="502FECCE" w14:textId="77777777" w:rsidR="00A006EE" w:rsidRDefault="00000000">
      <w:proofErr w:type="spellStart"/>
      <w:r>
        <w:rPr>
          <w:rFonts w:ascii="Arial" w:eastAsia="Arial" w:hAnsi="Arial" w:cs="Arial"/>
        </w:rPr>
        <w:t>Documento</w:t>
      </w:r>
      <w:proofErr w:type="spellEnd"/>
      <w:r>
        <w:rPr>
          <w:rFonts w:ascii="Arial" w:eastAsia="Arial" w:hAnsi="Arial" w:cs="Arial"/>
        </w:rPr>
        <w:t xml:space="preserve"> original: C:\Users\51964\Documents\GitHub\Obsidian\Obsidian\obsidian-history-vault-master\03 writing\documents\Drafts\JWSR\Resubmission_aug2024\Final draft\JWSR\Comparisons </w:t>
      </w:r>
      <w:proofErr w:type="spellStart"/>
      <w:r>
        <w:rPr>
          <w:rFonts w:ascii="Arial" w:eastAsia="Arial" w:hAnsi="Arial" w:cs="Arial"/>
        </w:rPr>
        <w:t>version_JWSR-en</w:t>
      </w:r>
      <w:proofErr w:type="spellEnd"/>
      <w:r>
        <w:rPr>
          <w:rFonts w:ascii="Arial" w:eastAsia="Arial" w:hAnsi="Arial" w:cs="Arial"/>
        </w:rPr>
        <w:t>\Introduction_en-JWSR.docx</w:t>
      </w:r>
    </w:p>
    <w:p w14:paraId="599C8AB4" w14:textId="77777777" w:rsidR="00A006EE" w:rsidRDefault="00000000">
      <w:proofErr w:type="spellStart"/>
      <w:r>
        <w:rPr>
          <w:rFonts w:ascii="Arial" w:eastAsia="Arial" w:hAnsi="Arial" w:cs="Arial"/>
        </w:rPr>
        <w:t>Documento</w:t>
      </w:r>
      <w:proofErr w:type="spellEnd"/>
      <w:r>
        <w:rPr>
          <w:rFonts w:ascii="Arial" w:eastAsia="Arial" w:hAnsi="Arial" w:cs="Arial"/>
        </w:rPr>
        <w:t xml:space="preserve"> </w:t>
      </w:r>
      <w:proofErr w:type="spellStart"/>
      <w:r>
        <w:rPr>
          <w:rFonts w:ascii="Arial" w:eastAsia="Arial" w:hAnsi="Arial" w:cs="Arial"/>
        </w:rPr>
        <w:t>modificado</w:t>
      </w:r>
      <w:proofErr w:type="spellEnd"/>
      <w:r>
        <w:rPr>
          <w:rFonts w:ascii="Arial" w:eastAsia="Arial" w:hAnsi="Arial" w:cs="Arial"/>
        </w:rPr>
        <w:t xml:space="preserve">: C:\Users\51964\Documents\GitHub\Obsidian\Obsidian\obsidian-history-vault-master\03 writing\documents\Drafts\JWSR\Resubmission_aug2024\Final draft\JWSR\Comparisons </w:t>
      </w:r>
      <w:proofErr w:type="spellStart"/>
      <w:r>
        <w:rPr>
          <w:rFonts w:ascii="Arial" w:eastAsia="Arial" w:hAnsi="Arial" w:cs="Arial"/>
        </w:rPr>
        <w:t>version_JWSR-en</w:t>
      </w:r>
      <w:proofErr w:type="spellEnd"/>
      <w:r>
        <w:rPr>
          <w:rFonts w:ascii="Arial" w:eastAsia="Arial" w:hAnsi="Arial" w:cs="Arial"/>
        </w:rPr>
        <w:t>\Introduction_JWSR-en.docx</w:t>
      </w:r>
    </w:p>
    <w:p w14:paraId="6581FC7F" w14:textId="77777777" w:rsidR="00A006EE" w:rsidRDefault="00A006EE"/>
    <w:p w14:paraId="46C07D90" w14:textId="77777777" w:rsidR="00A006EE" w:rsidRPr="009E1FD3" w:rsidRDefault="00000000">
      <w:pPr>
        <w:rPr>
          <w:lang w:val="es-PE"/>
        </w:rPr>
      </w:pPr>
      <w:r w:rsidRPr="009E1FD3">
        <w:rPr>
          <w:rFonts w:ascii="Arial" w:eastAsia="Arial" w:hAnsi="Arial" w:cs="Arial"/>
          <w:b/>
          <w:bCs/>
          <w:lang w:val="es-PE"/>
        </w:rPr>
        <w:t>Configuración:</w:t>
      </w:r>
    </w:p>
    <w:p w14:paraId="619DC697" w14:textId="77777777" w:rsidR="00A006EE" w:rsidRPr="009E1FD3" w:rsidRDefault="00000000">
      <w:pPr>
        <w:rPr>
          <w:lang w:val="es-PE"/>
        </w:rPr>
      </w:pPr>
      <w:r w:rsidRPr="009E1FD3">
        <w:rPr>
          <w:rFonts w:ascii="Arial" w:eastAsia="Arial" w:hAnsi="Arial" w:cs="Arial"/>
          <w:lang w:val="es-PE"/>
        </w:rPr>
        <w:t>Buscar diferencias de puntuación: Sí</w:t>
      </w:r>
    </w:p>
    <w:p w14:paraId="7CD8816B" w14:textId="77777777" w:rsidR="00A006EE" w:rsidRPr="009E1FD3" w:rsidRDefault="00000000">
      <w:pPr>
        <w:rPr>
          <w:lang w:val="es-PE"/>
        </w:rPr>
      </w:pPr>
      <w:r w:rsidRPr="009E1FD3">
        <w:rPr>
          <w:rFonts w:ascii="Arial" w:eastAsia="Arial" w:hAnsi="Arial" w:cs="Arial"/>
          <w:lang w:val="es-PE"/>
        </w:rPr>
        <w:t>Buscar diferencias de una letra: Sí</w:t>
      </w:r>
    </w:p>
    <w:p w14:paraId="18E9DBA9" w14:textId="77777777" w:rsidR="00A006EE" w:rsidRPr="009E1FD3" w:rsidRDefault="00000000">
      <w:pPr>
        <w:rPr>
          <w:lang w:val="es-PE"/>
        </w:rPr>
      </w:pPr>
      <w:r w:rsidRPr="009E1FD3">
        <w:rPr>
          <w:rFonts w:ascii="Arial" w:eastAsia="Arial" w:hAnsi="Arial" w:cs="Arial"/>
          <w:lang w:val="es-PE"/>
        </w:rPr>
        <w:t>Exportar diferencias en encabezados y pies de página: No</w:t>
      </w:r>
    </w:p>
    <w:p w14:paraId="5E9CAA8D" w14:textId="77777777" w:rsidR="00A006EE" w:rsidRPr="009E1FD3" w:rsidRDefault="00A006EE">
      <w:pPr>
        <w:rPr>
          <w:lang w:val="es-PE"/>
        </w:rPr>
      </w:pPr>
    </w:p>
    <w:p w14:paraId="3B47B9FD" w14:textId="77777777" w:rsidR="00A006EE" w:rsidRPr="009E1FD3" w:rsidRDefault="00000000">
      <w:pPr>
        <w:rPr>
          <w:lang w:val="es-PE"/>
        </w:rPr>
      </w:pPr>
      <w:r w:rsidRPr="009E1FD3">
        <w:rPr>
          <w:rFonts w:ascii="Arial" w:eastAsia="Arial" w:hAnsi="Arial" w:cs="Arial"/>
          <w:b/>
          <w:bCs/>
          <w:lang w:val="es-PE"/>
        </w:rPr>
        <w:t>Diferencias:</w:t>
      </w:r>
    </w:p>
    <w:p w14:paraId="49B705C9" w14:textId="77777777" w:rsidR="00A006EE" w:rsidRPr="009E1FD3" w:rsidRDefault="00000000">
      <w:pPr>
        <w:rPr>
          <w:lang w:val="es-PE"/>
        </w:rPr>
      </w:pPr>
      <w:r w:rsidRPr="009E1FD3">
        <w:rPr>
          <w:rFonts w:ascii="Arial" w:eastAsia="Arial" w:hAnsi="Arial" w:cs="Arial"/>
          <w:lang w:val="es-PE"/>
        </w:rPr>
        <w:t>Cuerpo del texto: 25</w:t>
      </w:r>
    </w:p>
    <w:p w14:paraId="0D65D8EC" w14:textId="77777777" w:rsidR="00A006EE" w:rsidRPr="009E1FD3" w:rsidRDefault="00000000">
      <w:pPr>
        <w:rPr>
          <w:lang w:val="es-PE"/>
        </w:rPr>
      </w:pPr>
      <w:r w:rsidRPr="009E1FD3">
        <w:rPr>
          <w:rFonts w:ascii="Arial" w:eastAsia="Arial" w:hAnsi="Arial" w:cs="Arial"/>
          <w:lang w:val="es-PE"/>
        </w:rPr>
        <w:t>Numeración: 0</w:t>
      </w:r>
    </w:p>
    <w:p w14:paraId="173F949A" w14:textId="77777777" w:rsidR="00A006EE" w:rsidRDefault="00000000">
      <w:r>
        <w:rPr>
          <w:rFonts w:ascii="Arial" w:eastAsia="Arial" w:hAnsi="Arial" w:cs="Arial"/>
        </w:rPr>
        <w:t xml:space="preserve">Total: </w:t>
      </w:r>
      <w:proofErr w:type="gramStart"/>
      <w:r>
        <w:rPr>
          <w:rFonts w:ascii="Arial" w:eastAsia="Arial" w:hAnsi="Arial" w:cs="Arial"/>
        </w:rPr>
        <w:t>25</w:t>
      </w:r>
      <w:proofErr w:type="gramEnd"/>
    </w:p>
    <w:p w14:paraId="7D349AA1" w14:textId="77777777" w:rsidR="00A006EE" w:rsidRDefault="00A006EE">
      <w:pPr>
        <w:sectPr w:rsidR="00A006EE">
          <w:pgSz w:w="11909" w:h="16834"/>
          <w:pgMar w:top="720" w:right="720" w:bottom="720" w:left="720" w:header="0" w:footer="0" w:gutter="0"/>
          <w:pgNumType w:start="0"/>
          <w:cols w:space="720"/>
          <w:noEndnote/>
          <w:docGrid w:linePitch="360"/>
        </w:sectPr>
      </w:pPr>
    </w:p>
    <w:p w14:paraId="661D05A7" w14:textId="77777777" w:rsidR="00A006EE" w:rsidRDefault="00000000">
      <w:pPr>
        <w:pStyle w:val="Ttulo10"/>
        <w:keepNext/>
        <w:keepLines/>
      </w:pPr>
      <w:bookmarkStart w:id="0" w:name="bookmark0"/>
      <w:r>
        <w:lastRenderedPageBreak/>
        <w:t>Introduction</w:t>
      </w:r>
      <w:bookmarkEnd w:id="0"/>
    </w:p>
    <w:p w14:paraId="026EB88E" w14:textId="66760B9A" w:rsidR="00A006EE" w:rsidRDefault="00000000">
      <w:pPr>
        <w:pStyle w:val="Cuerpodeltexto0"/>
      </w:pPr>
      <w: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w:t>
      </w:r>
      <w:proofErr w:type="gramStart"/>
      <w:r>
        <w:t>imperialists</w:t>
      </w:r>
      <w:proofErr w:type="gramEnd"/>
      <w:r>
        <w:t xml:space="preserve"> bourgeoisies finance capital through the mining circuit of accumulation.</w:t>
      </w:r>
    </w:p>
    <w:p w14:paraId="6CAACDBD" w14:textId="77777777" w:rsidR="00A006EE" w:rsidRDefault="00000000">
      <w:pPr>
        <w:pStyle w:val="Cuerpodeltexto0"/>
      </w:pPr>
      <w:r>
        <w:t xml:space="preserve">Mining in Los Andes is at the center of the foundational processes of the modern world-system and in the metabolic processes of reproduction of finance capital in the current world-economy. The development of the processes of production and circulation of colonial and imperialist mining, and gold mining in particular, have structured the social formation and historical resistance of the </w:t>
      </w:r>
      <w:proofErr w:type="gramStart"/>
      <w:r>
        <w:t>indigenous</w:t>
      </w:r>
      <w:proofErr w:type="gramEnd"/>
      <w:r>
        <w:t>-cholo peasantry, against militarism, dispossession and expansive destruction of the vital values for their social reproduction: water and land.</w:t>
      </w:r>
    </w:p>
    <w:p w14:paraId="6FA3C7AB" w14:textId="7A13AE65" w:rsidR="00A006EE" w:rsidRDefault="00000000">
      <w:pPr>
        <w:pStyle w:val="Cuerpodeltexto0"/>
      </w:pPr>
      <w:r>
        <w:t xml:space="preserve">This is evidenced by the genocide of the “indigenous” peoples of Abya </w:t>
      </w:r>
      <w:proofErr w:type="spellStart"/>
      <w:r>
        <w:t>Yala</w:t>
      </w:r>
      <w:proofErr w:type="spellEnd"/>
      <w:r>
        <w:t xml:space="preserve">, the exploitation of the survivors in colonial mining, as well </w:t>
      </w:r>
      <w:r>
        <w:t>as</w:t>
      </w:r>
      <w:r>
        <w:t xml:space="preserve"> the massacres of their proletarianized children and grandchildren indigenous-cholo peasants</w:t>
      </w:r>
      <w:ins w:id="1" w:author="ABBYY Comparar documentos">
        <w:r>
          <w:t>,</w:t>
        </w:r>
      </w:ins>
      <w:r>
        <w:t xml:space="preserve"> with the imperialist implantation of U.S. monopolist </w:t>
      </w:r>
      <w:proofErr w:type="gramStart"/>
      <w:r>
        <w:t>capitalists</w:t>
      </w:r>
      <w:proofErr w:type="gramEnd"/>
      <w:r>
        <w:t xml:space="preserve">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92FCD33" w14:textId="77777777" w:rsidR="00A006EE" w:rsidRDefault="00000000">
      <w:pPr>
        <w:pStyle w:val="Cuerpodeltexto0"/>
      </w:pPr>
      <w:r>
        <w:t>Colonial mining in Los Andes was the foundational method of the expanded original accumulation of the sixteenth century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t>-“</w:t>
      </w:r>
      <w:proofErr w:type="gramEnd"/>
      <w:r>
        <w:t>nationalization” through militarism (Luxemburg [1913]2015).</w:t>
      </w:r>
    </w:p>
    <w:p w14:paraId="39E014E4" w14:textId="74CB9E72" w:rsidR="00A006EE" w:rsidRDefault="00000000">
      <w:pPr>
        <w:pStyle w:val="Cuerpodeltexto0"/>
      </w:pPr>
      <w:r>
        <w:t xml:space="preserve">In their effort to conceptualize the antisystemic effects of the movements produced by the systemic structural </w:t>
      </w:r>
      <w:r>
        <w:t>processes</w:t>
      </w:r>
      <w:r>
        <w:t xml:space="preserve"> of the world-economy, Arrighi, Hopkins, and Wallerstein </w:t>
      </w:r>
      <w:r>
        <w:t>(1989:90)</w:t>
      </w:r>
      <w:r>
        <w:t xml:space="preserve"> treated the antisystemic effects as caused by the centralization of capital as a world-scale tendency highly developed under the world-economy of </w:t>
      </w:r>
      <w:r>
        <w:lastRenderedPageBreak/>
        <w:t>imperialism</w:t>
      </w:r>
      <w:r>
        <w:t>,</w:t>
      </w:r>
      <w:r>
        <w:t xml:space="preserve"> and highlighted the divergence of the potentially </w:t>
      </w:r>
      <w:r>
        <w:t xml:space="preserve">challenging [new] social sites/footnote{“Social sites consists of loci in which organized human action occurs; they include individuals, aspects of individuals, organizations, networks, and places” (Tilly 2002:xi).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t>
      </w:r>
      <w:r w:rsidR="00A73C56">
        <w:t>we</w:t>
      </w:r>
      <w:r>
        <w:t xml:space="preserve"> believe is congruent.}</w:t>
      </w:r>
      <w:r>
        <w:t xml:space="preserve"> of the antisystemic movements. However, the causal mechanisms that connect the constitution of antisystemic identities in absolute </w:t>
      </w:r>
      <w:r w:rsidR="009E1FD3">
        <w:t>antagonism</w:t>
      </w:r>
      <w:r w:rsidR="00A73C56">
        <w:t>,</w:t>
      </w:r>
      <w:r>
        <w:t xml:space="preserve"> with the </w:t>
      </w:r>
      <w:r>
        <w:t>metabolic</w:t>
      </w:r>
      <w:r>
        <w:t xml:space="preserve"> need </w:t>
      </w:r>
      <w:r w:rsidR="009E1FD3">
        <w:t>for expansive reproduction</w:t>
      </w:r>
      <w:r w:rsidR="009E1FD3">
        <w:t xml:space="preserve"> </w:t>
      </w:r>
      <w:r>
        <w:t>of contending finance capitals</w:t>
      </w:r>
      <w:r w:rsidR="009E1FD3" w:rsidRPr="009E1FD3">
        <w:t xml:space="preserve"> </w:t>
      </w:r>
      <w:r w:rsidR="009E1FD3">
        <w:t>with different</w:t>
      </w:r>
      <w:r w:rsidR="00A73C56">
        <w:t>iated</w:t>
      </w:r>
      <w:r w:rsidR="009E1FD3">
        <w:t xml:space="preserve"> </w:t>
      </w:r>
      <w:r w:rsidR="00A73C56">
        <w:t>trajectories</w:t>
      </w:r>
      <w:r w:rsidR="009E1FD3">
        <w:t xml:space="preserve"> of centralization and concentratio</w:t>
      </w:r>
      <w:r w:rsidR="00C40FDC">
        <w:t>n</w:t>
      </w:r>
      <w:r>
        <w:t xml:space="preserve"> have not yet </w:t>
      </w:r>
      <w:proofErr w:type="gramStart"/>
      <w:r>
        <w:t>been evidenced</w:t>
      </w:r>
      <w:proofErr w:type="gramEnd"/>
      <w:r>
        <w:t>.</w:t>
      </w:r>
    </w:p>
    <w:p w14:paraId="648E2FF0" w14:textId="3E55251E" w:rsidR="00A006EE" w:rsidRDefault="00000000">
      <w:pPr>
        <w:pStyle w:val="Cuerpodeltexto0"/>
      </w:pPr>
      <w:r>
        <w:t xml:space="preserve">As the events presented, the emergence of new challengers with </w:t>
      </w:r>
      <w:r>
        <w:t>not only abstract but absolute</w:t>
      </w:r>
      <w:r>
        <w:t xml:space="preserve"> antagonistic identities appears as reminders of the development of </w:t>
      </w:r>
      <w:r>
        <w:t xml:space="preserve">the </w:t>
      </w:r>
      <w:r>
        <w:t>history</w:t>
      </w:r>
      <w:r>
        <w:t xml:space="preserve"> of class struggle. We build a hypothesis of causal mechanisms to answer the question</w:t>
      </w:r>
      <w:r>
        <w:t xml:space="preserve">: How </w:t>
      </w:r>
      <w:r>
        <w:t xml:space="preserve">do </w:t>
      </w:r>
      <w:r>
        <w:t>the anti</w:t>
      </w:r>
      <w:del w:id="2" w:author="ABBYY Comparar documentos">
        <w:r>
          <w:delText>-</w:delText>
        </w:r>
      </w:del>
      <w:r>
        <w:t xml:space="preserve">mining struggles </w:t>
      </w:r>
      <w:r>
        <w:t>produce</w:t>
      </w:r>
      <w:r>
        <w:t xml:space="preserve"> anti</w:t>
      </w:r>
      <w:del w:id="3" w:author="ABBYY Comparar documentos">
        <w:r>
          <w:delText>-</w:delText>
        </w:r>
      </w:del>
      <w:r>
        <w:t xml:space="preserve">systemic effects </w:t>
      </w:r>
      <w:r>
        <w:t>on</w:t>
      </w:r>
      <w:r>
        <w:t xml:space="preserve"> the </w:t>
      </w:r>
      <w:r>
        <w:t xml:space="preserve">capital </w:t>
      </w:r>
      <w:r>
        <w:t>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3DD20479" w14:textId="19EB4744" w:rsidR="00A006EE" w:rsidRDefault="00000000">
      <w:pPr>
        <w:pStyle w:val="Cuerpodeltexto0"/>
      </w:pPr>
      <w:r>
        <w:t xml:space="preserve">Antimining struggles have world-scale effects over the decreasing of the rate of profit </w:t>
      </w:r>
      <w:r>
        <w:t xml:space="preserve">of the top-layer of the imperialists bourgeoisies, the </w:t>
      </w:r>
      <w:r>
        <w:rPr>
          <w:i/>
          <w:iCs/>
        </w:rPr>
        <w:t>inter-“national” bank state capitalists trusts</w:t>
      </w:r>
      <w:r w:rsidR="002B1C92" w:rsidRPr="002B1C92">
        <w:t xml:space="preserve">\footnote{“The development of 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w:t>
      </w:r>
      <w:r w:rsidR="002B1C92" w:rsidRPr="002B1C92">
        <w:t>assumed a</w:t>
      </w:r>
      <w:r w:rsidR="002B1C92" w:rsidRPr="002B1C92">
        <w:t xml:space="preserve"> new form here, namely, the form of concentration in trusts. Capital accumulation no more increased the capital of individual producers; it turned into a means of increasing the capital of entrepreneurs’ organizations.</w:t>
      </w:r>
      <w:r w:rsidR="002B1C92">
        <w:t xml:space="preserve"> </w:t>
      </w:r>
      <w:r w:rsidR="002B1C92" w:rsidRPr="002B1C92">
        <w:t>[</w:t>
      </w:r>
      <w:r w:rsidR="002B1C92">
        <w:t>…</w:t>
      </w:r>
      <w:r w:rsidR="002B1C92" w:rsidRPr="002B1C92">
        <w:t xml:space="preserve">] The </w:t>
      </w:r>
      <w:proofErr w:type="gramStart"/>
      <w:r w:rsidR="002B1C92" w:rsidRPr="002B1C92">
        <w:t>individual  production</w:t>
      </w:r>
      <w:proofErr w:type="gramEnd"/>
      <w:r w:rsidR="002B1C92" w:rsidRPr="002B1C92">
        <w:t xml:space="preserve"> branches are in various ways knit together into one collective body, organized on a large scale. Finance capital seizes the entire country in an iron grip. “National economy” turns into one </w:t>
      </w:r>
      <w:proofErr w:type="gramStart"/>
      <w:r w:rsidR="002B1C92" w:rsidRPr="002B1C92">
        <w:t>gigantic combined</w:t>
      </w:r>
      <w:proofErr w:type="gramEnd"/>
      <w:r w:rsidR="002B1C92" w:rsidRPr="002B1C92">
        <w:t xml:space="preserve"> trust whose partners are the financial groups [banks] and the state. Such formations we call state capitalist trusts" (Bukharin [1915]1988:117-118).}</w:t>
      </w:r>
      <w:r w:rsidRPr="002B1C92">
        <w:t xml:space="preserve"> </w:t>
      </w:r>
      <w:r>
        <w:t xml:space="preserve">by: the obstruction of the circulation time in the transformation of surplus value into profit, as well as </w:t>
      </w:r>
      <w:r>
        <w:t>disrupting</w:t>
      </w:r>
      <w:r>
        <w:t xml:space="preserve"> the advanced capital organic composition of the imperialist bourgeoisies investing in the mining reproduction circuit of accumulation, over the state capitalist’s trusts </w:t>
      </w:r>
      <w:r w:rsidR="00BB71CC">
        <w:t>gold-money-capital</w:t>
      </w:r>
      <w:r>
        <w:t xml:space="preserve"> hoarding and trade. The effects of antimining struggles on the metabolic mechanisms of capital reproduction are antisystemic, also because its absolute antagonist </w:t>
      </w:r>
      <w:r w:rsidR="00BB71CC">
        <w:t>contestation</w:t>
      </w:r>
      <w:r>
        <w:t xml:space="preserve"> exacerbates the imperialistic competence for material expansion facing a forthcoming re-partition imperialists wars.</w:t>
      </w:r>
    </w:p>
    <w:p w14:paraId="3D025A38" w14:textId="03C78FBF" w:rsidR="00A006EE" w:rsidRDefault="00000000">
      <w:pPr>
        <w:pStyle w:val="Cuerpodeltexto0"/>
      </w:pPr>
      <w:r>
        <w:t xml:space="preserve">We state the following hypothesis: the </w:t>
      </w:r>
      <w:r w:rsidR="00BB71CC">
        <w:t>Indigenous</w:t>
      </w:r>
      <w:r>
        <w:t>-cholo historical antisystemic resistances formed with, and in antagonism to, the systemic structural processes vital for extended capital reproduction are real by its effects (Merton 1948). The antimining struggles have antisystemic effects by decreasing the top-layer-class of the world-</w:t>
      </w:r>
      <w:r>
        <w:lastRenderedPageBreak/>
        <w:t>economy of imperialism expected rate of profit through the circuit of mining accumulation, by effectively blocking its capital circulation by obstructive performances of struggle. In that manner, delaying its circulation time and disrupting the expected organic composition of finance capital advanced in the production of surplus-value</w:t>
      </w:r>
      <w:r w:rsidR="00BB71CC">
        <w:t>,</w:t>
      </w:r>
      <w:r>
        <w:t xml:space="preserve"> shaped as a mass of mining-commodity-capital, and its posterior metamorphosis into total super-profit.</w:t>
      </w:r>
    </w:p>
    <w:p w14:paraId="1E4BDC08" w14:textId="2B65DA75" w:rsidR="00A006EE" w:rsidRDefault="00000000">
      <w:pPr>
        <w:pStyle w:val="Cuerpodeltexto0"/>
        <w:spacing w:after="0"/>
      </w:pPr>
      <w: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w:t>
      </w:r>
      <w:proofErr w:type="gramStart"/>
      <w:r>
        <w:t>be delayed</w:t>
      </w:r>
      <w:proofErr w:type="gramEnd"/>
      <w:r>
        <w:t xml:space="preserve">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w:t>
      </w:r>
      <w:r w:rsidR="002B1C92">
        <w:t xml:space="preserve"> or Palestine</w:t>
      </w:r>
      <w:r>
        <w:t>.</w:t>
      </w:r>
    </w:p>
    <w:p w14:paraId="4469B178" w14:textId="77777777" w:rsidR="00ED7279" w:rsidRDefault="00ED7279">
      <w:pPr>
        <w:pStyle w:val="Cuerpodeltexto0"/>
        <w:spacing w:after="0"/>
      </w:pPr>
    </w:p>
    <w:p w14:paraId="57F95E16" w14:textId="77777777" w:rsidR="00ED7279" w:rsidRDefault="00ED7279">
      <w:pPr>
        <w:pStyle w:val="Cuerpodeltexto0"/>
        <w:spacing w:after="0"/>
      </w:pPr>
    </w:p>
    <w:sectPr w:rsidR="00ED7279">
      <w:pgSz w:w="12240" w:h="15840"/>
      <w:pgMar w:top="1416" w:right="1718" w:bottom="1370" w:left="1651" w:header="988" w:footer="942"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7E5BCB" w14:textId="77777777" w:rsidR="002D632F" w:rsidRDefault="002D632F">
      <w:r>
        <w:separator/>
      </w:r>
    </w:p>
  </w:endnote>
  <w:endnote w:type="continuationSeparator" w:id="0">
    <w:p w14:paraId="7ECE780D" w14:textId="77777777" w:rsidR="002D632F" w:rsidRDefault="002D6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B7E742" w14:textId="77777777" w:rsidR="002D632F" w:rsidRDefault="002D632F"/>
  </w:footnote>
  <w:footnote w:type="continuationSeparator" w:id="0">
    <w:p w14:paraId="626F627D" w14:textId="77777777" w:rsidR="002D632F" w:rsidRDefault="002D632F"/>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6EE"/>
    <w:rsid w:val="002B1C92"/>
    <w:rsid w:val="002D632F"/>
    <w:rsid w:val="0075055E"/>
    <w:rsid w:val="009E1FD3"/>
    <w:rsid w:val="00A006EE"/>
    <w:rsid w:val="00A73C56"/>
    <w:rsid w:val="00BB71CC"/>
    <w:rsid w:val="00C40FDC"/>
    <w:rsid w:val="00ED727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27288"/>
  <w15:docId w15:val="{FAD004A6-1D37-4721-98EC-0060DC77C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Courier New"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
    <w:name w:val="Título #1_"/>
    <w:basedOn w:val="Fuentedeprrafopredeter"/>
    <w:link w:val="Ttulo10"/>
    <w:rPr>
      <w:rFonts w:ascii="Calibri" w:eastAsia="Calibri" w:hAnsi="Calibri" w:cs="Calibri"/>
      <w:b/>
      <w:bCs/>
      <w:i w:val="0"/>
      <w:iCs w:val="0"/>
      <w:smallCaps w:val="0"/>
      <w:strike w:val="0"/>
      <w:color w:val="4F81BD"/>
      <w:sz w:val="32"/>
      <w:szCs w:val="32"/>
      <w:u w:val="none"/>
    </w:rPr>
  </w:style>
  <w:style w:type="character" w:customStyle="1" w:styleId="Cuerpodeltexto">
    <w:name w:val="Cuerpo del texto_"/>
    <w:basedOn w:val="Fuentedeprrafopredeter"/>
    <w:link w:val="Cuerpodeltexto0"/>
    <w:rPr>
      <w:rFonts w:ascii="Cambria" w:eastAsia="Cambria" w:hAnsi="Cambria" w:cs="Cambria"/>
      <w:b w:val="0"/>
      <w:bCs w:val="0"/>
      <w:i w:val="0"/>
      <w:iCs w:val="0"/>
      <w:smallCaps w:val="0"/>
      <w:strike w:val="0"/>
      <w:u w:val="none"/>
    </w:rPr>
  </w:style>
  <w:style w:type="paragraph" w:customStyle="1" w:styleId="Ttulo10">
    <w:name w:val="Título #1"/>
    <w:basedOn w:val="Normal"/>
    <w:link w:val="Ttulo1"/>
    <w:pPr>
      <w:spacing w:before="460" w:after="160"/>
      <w:outlineLvl w:val="0"/>
    </w:pPr>
    <w:rPr>
      <w:rFonts w:ascii="Calibri" w:eastAsia="Calibri" w:hAnsi="Calibri" w:cs="Calibri"/>
      <w:b/>
      <w:bCs/>
      <w:color w:val="4F81BD"/>
      <w:sz w:val="32"/>
      <w:szCs w:val="32"/>
    </w:rPr>
  </w:style>
  <w:style w:type="paragraph" w:customStyle="1" w:styleId="Cuerpodeltexto0">
    <w:name w:val="Cuerpo del texto"/>
    <w:basedOn w:val="Normal"/>
    <w:link w:val="Cuerpodeltexto"/>
    <w:pPr>
      <w:spacing w:after="160"/>
    </w:pPr>
    <w:rPr>
      <w:rFonts w:ascii="Cambria" w:eastAsia="Cambria" w:hAnsi="Cambria" w:cs="Cambria"/>
    </w:rPr>
  </w:style>
  <w:style w:type="paragraph" w:styleId="Textonotapie">
    <w:name w:val="footnote text"/>
    <w:basedOn w:val="Normal"/>
    <w:link w:val="TextonotapieCar"/>
    <w:uiPriority w:val="99"/>
    <w:semiHidden/>
    <w:unhideWhenUsed/>
    <w:rsid w:val="002B1C92"/>
    <w:rPr>
      <w:sz w:val="20"/>
      <w:szCs w:val="20"/>
    </w:rPr>
  </w:style>
  <w:style w:type="character" w:customStyle="1" w:styleId="TextonotapieCar">
    <w:name w:val="Texto nota pie Car"/>
    <w:basedOn w:val="Fuentedeprrafopredeter"/>
    <w:link w:val="Textonotapie"/>
    <w:uiPriority w:val="99"/>
    <w:semiHidden/>
    <w:rsid w:val="002B1C92"/>
    <w:rPr>
      <w:color w:val="000000"/>
      <w:sz w:val="20"/>
      <w:szCs w:val="20"/>
    </w:rPr>
  </w:style>
  <w:style w:type="character" w:styleId="Refdenotaalpie">
    <w:name w:val="footnote reference"/>
    <w:basedOn w:val="Fuentedeprrafopredeter"/>
    <w:uiPriority w:val="99"/>
    <w:semiHidden/>
    <w:unhideWhenUsed/>
    <w:rsid w:val="002B1C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64501-6D00-4DF8-A3DE-3B6DEB3A5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1420</Words>
  <Characters>7810</Characters>
  <Application>Microsoft Office Word</Application>
  <DocSecurity>0</DocSecurity>
  <Lines>65</Lines>
  <Paragraphs>18</Paragraphs>
  <ScaleCrop>false</ScaleCrop>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ABBYY Comparar documentos</dc:creator>
  <cp:keywords/>
  <cp:lastModifiedBy>51964</cp:lastModifiedBy>
  <cp:revision>7</cp:revision>
  <dcterms:created xsi:type="dcterms:W3CDTF">2024-08-15T20:05:00Z</dcterms:created>
  <dcterms:modified xsi:type="dcterms:W3CDTF">2024-08-15T20:29:00Z</dcterms:modified>
</cp:coreProperties>
</file>