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C9823E" w14:textId="4FB1D7A1" w:rsidR="00046053" w:rsidRPr="00844FC4" w:rsidRDefault="00046053" w:rsidP="00844FC4">
      <w:pPr>
        <w:spacing w:line="480" w:lineRule="auto"/>
        <w:jc w:val="both"/>
        <w:rPr>
          <w:rFonts w:ascii="Times New Roman" w:hAnsi="Times New Roman" w:cs="Times New Roman"/>
          <w:sz w:val="24"/>
          <w:szCs w:val="24"/>
          <w:lang w:val="en-US"/>
        </w:rPr>
      </w:pPr>
      <w:r w:rsidRPr="00046053">
        <w:rPr>
          <w:rFonts w:ascii="Times New Roman" w:hAnsi="Times New Roman" w:cs="Times New Roman"/>
          <w:sz w:val="24"/>
          <w:szCs w:val="24"/>
          <w:lang w:val="en-US"/>
        </w:rPr>
        <w:t xml:space="preserve">Carin Berkowitz and Matthew Gibson's essay redefines the state of the humanities by reframing the widely discussed "crisis" in the field. They explore the transformative potential of public humanities initiatives, such as those led by state humanities councils, to enrich societal engagement with history, culture, and identity. Far from the confines of academia, these projects demonstrate the humanities' capacity to thrive in diverse public spaces, fostering dialogue and action on collective values and memory. The authors argue that the so-called crisis often stems from narrow perspectives, particularly those rooted in academia’s declining influence. In contrast, the public humanities flourish through inclusivity and grassroots participation, creating spaces for collaborative knowledge-making and </w:t>
      </w:r>
      <w:r w:rsidR="00844FC4" w:rsidRPr="00046053">
        <w:rPr>
          <w:rFonts w:ascii="Times New Roman" w:hAnsi="Times New Roman" w:cs="Times New Roman"/>
          <w:sz w:val="24"/>
          <w:szCs w:val="24"/>
          <w:lang w:val="en-US"/>
        </w:rPr>
        <w:t>reimagining</w:t>
      </w:r>
      <w:r w:rsidRPr="00046053">
        <w:rPr>
          <w:rFonts w:ascii="Times New Roman" w:hAnsi="Times New Roman" w:cs="Times New Roman"/>
          <w:sz w:val="24"/>
          <w:szCs w:val="24"/>
          <w:lang w:val="en-US"/>
        </w:rPr>
        <w:t xml:space="preserve"> historical narratives.</w:t>
      </w:r>
    </w:p>
    <w:p w14:paraId="53DC25C1" w14:textId="77777777" w:rsidR="00844FC4" w:rsidRPr="00046053" w:rsidRDefault="00844FC4" w:rsidP="00844FC4">
      <w:pPr>
        <w:spacing w:line="480" w:lineRule="auto"/>
        <w:jc w:val="both"/>
        <w:rPr>
          <w:rFonts w:ascii="Times New Roman" w:hAnsi="Times New Roman" w:cs="Times New Roman"/>
          <w:sz w:val="24"/>
          <w:szCs w:val="24"/>
          <w:lang w:val="en-US"/>
        </w:rPr>
      </w:pPr>
    </w:p>
    <w:p w14:paraId="7E967E22" w14:textId="77777777" w:rsidR="00046053" w:rsidRPr="00844FC4" w:rsidRDefault="00046053" w:rsidP="00844FC4">
      <w:pPr>
        <w:spacing w:line="480" w:lineRule="auto"/>
        <w:jc w:val="both"/>
        <w:rPr>
          <w:rFonts w:ascii="Times New Roman" w:hAnsi="Times New Roman" w:cs="Times New Roman"/>
          <w:sz w:val="24"/>
          <w:szCs w:val="24"/>
          <w:lang w:val="en-US"/>
        </w:rPr>
      </w:pPr>
      <w:r w:rsidRPr="00046053">
        <w:rPr>
          <w:rFonts w:ascii="Times New Roman" w:hAnsi="Times New Roman" w:cs="Times New Roman"/>
          <w:sz w:val="24"/>
          <w:szCs w:val="24"/>
          <w:lang w:val="en-US"/>
        </w:rPr>
        <w:t>Berkowitz and Gibson emphasize that while public humanities projects offer vibrant community engagement, they face persistent challenges. Definitional ambiguity presents a key hurdle, as public interpretations of the humanities often differ from academic frameworks, favoring accessibility over scholarly rigor. Furthermore, resource allocation remains inequitable, with grassroots initiatives struggling against limited funding and bureaucratic constraints. Bridging the gap between academic and public humanities also requires overcoming mutual mistrust and uneven power dynamics, as institutional privileges often alienate community collaborators. The authors advocate for an expansive and collaborative approach to the humanities that bridges these divides, encouraging academics and grassroots practitioners to work together on equal footing. This redefinition not only strengthens the humanities but also aligns them more closely with contemporary social justice, cultural understanding, and systemic equity. By prioritizing inclusivity and local relevance, public humanities projects challenge traditional academic roles and redefine the field's societal impact.</w:t>
      </w:r>
    </w:p>
    <w:p w14:paraId="7073A710" w14:textId="77777777" w:rsidR="00046053" w:rsidRPr="00844FC4" w:rsidRDefault="00046053" w:rsidP="00844FC4">
      <w:pPr>
        <w:spacing w:line="480" w:lineRule="auto"/>
        <w:jc w:val="both"/>
        <w:rPr>
          <w:rFonts w:ascii="Times New Roman" w:hAnsi="Times New Roman" w:cs="Times New Roman"/>
          <w:sz w:val="24"/>
          <w:szCs w:val="24"/>
          <w:lang w:val="en-US"/>
        </w:rPr>
      </w:pPr>
    </w:p>
    <w:p w14:paraId="7AE3463D" w14:textId="7CFD5D28" w:rsidR="00046053" w:rsidRPr="00844FC4" w:rsidRDefault="00046053" w:rsidP="00844FC4">
      <w:pPr>
        <w:spacing w:line="480" w:lineRule="auto"/>
        <w:jc w:val="both"/>
        <w:rPr>
          <w:rFonts w:ascii="Times New Roman" w:hAnsi="Times New Roman" w:cs="Times New Roman"/>
          <w:sz w:val="24"/>
          <w:szCs w:val="24"/>
          <w:lang w:val="en-US"/>
        </w:rPr>
      </w:pPr>
      <w:r w:rsidRPr="00844FC4">
        <w:rPr>
          <w:rFonts w:ascii="Times New Roman" w:hAnsi="Times New Roman" w:cs="Times New Roman"/>
          <w:sz w:val="24"/>
          <w:szCs w:val="24"/>
          <w:lang w:val="en-US"/>
        </w:rPr>
        <w:t xml:space="preserve">The </w:t>
      </w:r>
      <w:r w:rsidRPr="00844FC4">
        <w:rPr>
          <w:rFonts w:ascii="Times New Roman" w:hAnsi="Times New Roman" w:cs="Times New Roman"/>
          <w:sz w:val="24"/>
          <w:szCs w:val="24"/>
          <w:lang w:val="en-US"/>
        </w:rPr>
        <w:t>authors</w:t>
      </w:r>
      <w:r w:rsidRPr="00844FC4">
        <w:rPr>
          <w:rFonts w:ascii="Times New Roman" w:hAnsi="Times New Roman" w:cs="Times New Roman"/>
          <w:sz w:val="24"/>
          <w:szCs w:val="24"/>
          <w:lang w:val="en-US"/>
        </w:rPr>
        <w:t xml:space="preserve"> illustrate the transformative potential of public humanities</w:t>
      </w:r>
      <w:r w:rsidRPr="00844FC4">
        <w:rPr>
          <w:rFonts w:ascii="Times New Roman" w:hAnsi="Times New Roman" w:cs="Times New Roman"/>
          <w:sz w:val="24"/>
          <w:szCs w:val="24"/>
          <w:lang w:val="en-US"/>
        </w:rPr>
        <w:t xml:space="preserve"> projects using </w:t>
      </w:r>
      <w:r w:rsidR="00844FC4" w:rsidRPr="00844FC4">
        <w:rPr>
          <w:rFonts w:ascii="Times New Roman" w:hAnsi="Times New Roman" w:cs="Times New Roman"/>
          <w:sz w:val="24"/>
          <w:szCs w:val="24"/>
          <w:lang w:val="en-US"/>
        </w:rPr>
        <w:t>two</w:t>
      </w:r>
      <w:r w:rsidRPr="00844FC4">
        <w:rPr>
          <w:rFonts w:ascii="Times New Roman" w:hAnsi="Times New Roman" w:cs="Times New Roman"/>
          <w:sz w:val="24"/>
          <w:szCs w:val="24"/>
          <w:lang w:val="en-US"/>
        </w:rPr>
        <w:t xml:space="preserve"> cases</w:t>
      </w:r>
      <w:r w:rsidR="00844FC4" w:rsidRPr="00844FC4">
        <w:rPr>
          <w:rFonts w:ascii="Times New Roman" w:hAnsi="Times New Roman" w:cs="Times New Roman"/>
          <w:sz w:val="24"/>
          <w:szCs w:val="24"/>
          <w:lang w:val="en-US"/>
        </w:rPr>
        <w:t>.</w:t>
      </w:r>
      <w:r w:rsidRPr="00844FC4">
        <w:rPr>
          <w:rFonts w:ascii="Times New Roman" w:hAnsi="Times New Roman" w:cs="Times New Roman"/>
          <w:sz w:val="24"/>
          <w:szCs w:val="24"/>
          <w:lang w:val="en-US"/>
        </w:rPr>
        <w:t xml:space="preserve"> </w:t>
      </w:r>
      <w:r w:rsidR="00844FC4" w:rsidRPr="00844FC4">
        <w:rPr>
          <w:rFonts w:ascii="Times New Roman" w:hAnsi="Times New Roman" w:cs="Times New Roman"/>
          <w:sz w:val="24"/>
          <w:szCs w:val="24"/>
          <w:lang w:val="en-US"/>
        </w:rPr>
        <w:t>T</w:t>
      </w:r>
      <w:r w:rsidRPr="00844FC4">
        <w:rPr>
          <w:rFonts w:ascii="Times New Roman" w:hAnsi="Times New Roman" w:cs="Times New Roman"/>
          <w:sz w:val="24"/>
          <w:szCs w:val="24"/>
          <w:lang w:val="en-US"/>
        </w:rPr>
        <w:t xml:space="preserve">he </w:t>
      </w:r>
      <w:r w:rsidRPr="00844FC4">
        <w:rPr>
          <w:rFonts w:ascii="Times New Roman" w:hAnsi="Times New Roman" w:cs="Times New Roman"/>
          <w:sz w:val="24"/>
          <w:szCs w:val="24"/>
          <w:lang w:val="en-US"/>
        </w:rPr>
        <w:t>New Jersey's Reckoning with Slaver</w:t>
      </w:r>
      <w:r w:rsidRPr="00844FC4">
        <w:rPr>
          <w:rFonts w:ascii="Times New Roman" w:hAnsi="Times New Roman" w:cs="Times New Roman"/>
          <w:sz w:val="24"/>
          <w:szCs w:val="24"/>
          <w:lang w:val="en-US"/>
        </w:rPr>
        <w:t>s, a</w:t>
      </w:r>
      <w:r w:rsidRPr="00844FC4">
        <w:rPr>
          <w:rFonts w:ascii="Times New Roman" w:hAnsi="Times New Roman" w:cs="Times New Roman"/>
          <w:sz w:val="24"/>
          <w:szCs w:val="24"/>
          <w:lang w:val="en-US"/>
        </w:rPr>
        <w:t xml:space="preserve"> local project uncovered histories of free Black individuals being sold into slavery by a judge whose name adorned public spaces.</w:t>
      </w:r>
      <w:r w:rsidRPr="00844FC4">
        <w:rPr>
          <w:rFonts w:ascii="Times New Roman" w:hAnsi="Times New Roman" w:cs="Times New Roman"/>
          <w:sz w:val="24"/>
          <w:szCs w:val="24"/>
          <w:lang w:val="en-US"/>
        </w:rPr>
        <w:t xml:space="preserve"> In which t</w:t>
      </w:r>
      <w:r w:rsidRPr="00844FC4">
        <w:rPr>
          <w:rFonts w:ascii="Times New Roman" w:hAnsi="Times New Roman" w:cs="Times New Roman"/>
          <w:sz w:val="24"/>
          <w:szCs w:val="24"/>
          <w:lang w:val="en-US"/>
        </w:rPr>
        <w:t>he community-led effort, supported by the New Jersey Council for the Humanities (NJCH), involved research, public education, and advocacy for renaming spaces and erecting memorials.</w:t>
      </w:r>
      <w:r w:rsidRPr="00844FC4">
        <w:rPr>
          <w:rFonts w:ascii="Times New Roman" w:hAnsi="Times New Roman" w:cs="Times New Roman"/>
          <w:sz w:val="24"/>
          <w:szCs w:val="24"/>
          <w:lang w:val="en-US"/>
        </w:rPr>
        <w:t xml:space="preserve"> </w:t>
      </w:r>
      <w:r w:rsidRPr="00844FC4">
        <w:rPr>
          <w:rFonts w:ascii="Times New Roman" w:hAnsi="Times New Roman" w:cs="Times New Roman"/>
          <w:sz w:val="24"/>
          <w:szCs w:val="24"/>
          <w:lang w:val="en-US"/>
        </w:rPr>
        <w:t>This initiative exemplifies co-creation of knowledge</w:t>
      </w:r>
      <w:r w:rsidRPr="00844FC4">
        <w:rPr>
          <w:rFonts w:ascii="Times New Roman" w:hAnsi="Times New Roman" w:cs="Times New Roman"/>
          <w:sz w:val="24"/>
          <w:szCs w:val="24"/>
          <w:lang w:val="en-US"/>
        </w:rPr>
        <w:t xml:space="preserve"> and </w:t>
      </w:r>
      <w:r w:rsidRPr="00844FC4">
        <w:rPr>
          <w:rFonts w:ascii="Times New Roman" w:hAnsi="Times New Roman" w:cs="Times New Roman"/>
          <w:sz w:val="24"/>
          <w:szCs w:val="24"/>
          <w:lang w:val="en-US"/>
        </w:rPr>
        <w:t>academic expertise supplemented community leadership.</w:t>
      </w:r>
      <w:r w:rsidRPr="00844FC4">
        <w:rPr>
          <w:rFonts w:ascii="Times New Roman" w:hAnsi="Times New Roman" w:cs="Times New Roman"/>
          <w:sz w:val="24"/>
          <w:szCs w:val="24"/>
          <w:lang w:val="en-US"/>
        </w:rPr>
        <w:t xml:space="preserve"> And</w:t>
      </w:r>
      <w:r w:rsidR="00844FC4" w:rsidRPr="00844FC4">
        <w:rPr>
          <w:rFonts w:ascii="Times New Roman" w:hAnsi="Times New Roman" w:cs="Times New Roman"/>
          <w:sz w:val="24"/>
          <w:szCs w:val="24"/>
          <w:lang w:val="en-US"/>
        </w:rPr>
        <w:t xml:space="preserve">, </w:t>
      </w:r>
      <w:r w:rsidRPr="00844FC4">
        <w:rPr>
          <w:rFonts w:ascii="Times New Roman" w:hAnsi="Times New Roman" w:cs="Times New Roman"/>
          <w:sz w:val="24"/>
          <w:szCs w:val="24"/>
          <w:lang w:val="en-US"/>
        </w:rPr>
        <w:t xml:space="preserve">the case of </w:t>
      </w:r>
      <w:r w:rsidRPr="00844FC4">
        <w:rPr>
          <w:rFonts w:ascii="Times New Roman" w:hAnsi="Times New Roman" w:cs="Times New Roman"/>
          <w:sz w:val="24"/>
          <w:szCs w:val="24"/>
          <w:lang w:val="en-US"/>
        </w:rPr>
        <w:t>Virginia's Educational Heritage Exhibit</w:t>
      </w:r>
      <w:r w:rsidRPr="00844FC4">
        <w:rPr>
          <w:rFonts w:ascii="Times New Roman" w:hAnsi="Times New Roman" w:cs="Times New Roman"/>
          <w:sz w:val="24"/>
          <w:szCs w:val="24"/>
          <w:lang w:val="en-US"/>
        </w:rPr>
        <w:t xml:space="preserve">, </w:t>
      </w:r>
      <w:r w:rsidR="00844FC4" w:rsidRPr="00844FC4">
        <w:rPr>
          <w:rFonts w:ascii="Times New Roman" w:hAnsi="Times New Roman" w:cs="Times New Roman"/>
          <w:sz w:val="24"/>
          <w:szCs w:val="24"/>
          <w:lang w:val="en-US"/>
        </w:rPr>
        <w:t>initiative by which r</w:t>
      </w:r>
      <w:r w:rsidRPr="00844FC4">
        <w:rPr>
          <w:rFonts w:ascii="Times New Roman" w:hAnsi="Times New Roman" w:cs="Times New Roman"/>
          <w:sz w:val="24"/>
          <w:szCs w:val="24"/>
          <w:lang w:val="en-US"/>
        </w:rPr>
        <w:t>esidents of Esmont, Virginia, commemorated a historically Black school slated for closure by creating a history exhibit honoring its namesake, Benjamin Franklin Yancey</w:t>
      </w:r>
      <w:r w:rsidR="00844FC4" w:rsidRPr="00844FC4">
        <w:rPr>
          <w:rFonts w:ascii="Times New Roman" w:hAnsi="Times New Roman" w:cs="Times New Roman"/>
          <w:sz w:val="24"/>
          <w:szCs w:val="24"/>
          <w:lang w:val="en-US"/>
        </w:rPr>
        <w:t>. The</w:t>
      </w:r>
      <w:r w:rsidRPr="00844FC4">
        <w:rPr>
          <w:rFonts w:ascii="Times New Roman" w:hAnsi="Times New Roman" w:cs="Times New Roman"/>
          <w:sz w:val="24"/>
          <w:szCs w:val="24"/>
          <w:lang w:val="en-US"/>
        </w:rPr>
        <w:t xml:space="preserve"> project, funded by Virginia Humanities, utilized oral histories and archival research to preserve local Black history.</w:t>
      </w:r>
    </w:p>
    <w:p w14:paraId="19E33EAB" w14:textId="77777777" w:rsidR="00046053" w:rsidRPr="00844FC4" w:rsidRDefault="00046053" w:rsidP="00844FC4">
      <w:pPr>
        <w:spacing w:line="480" w:lineRule="auto"/>
        <w:jc w:val="both"/>
        <w:rPr>
          <w:rFonts w:ascii="Times New Roman" w:hAnsi="Times New Roman" w:cs="Times New Roman"/>
          <w:sz w:val="24"/>
          <w:szCs w:val="24"/>
          <w:lang w:val="en-US"/>
        </w:rPr>
      </w:pPr>
    </w:p>
    <w:p w14:paraId="2FE74AAC" w14:textId="6FB47127" w:rsidR="00046053" w:rsidRPr="00046053" w:rsidRDefault="00046053" w:rsidP="00844FC4">
      <w:pPr>
        <w:spacing w:line="480" w:lineRule="auto"/>
        <w:jc w:val="both"/>
        <w:rPr>
          <w:rFonts w:ascii="Times New Roman" w:hAnsi="Times New Roman" w:cs="Times New Roman"/>
          <w:sz w:val="24"/>
          <w:szCs w:val="24"/>
          <w:lang w:val="en-US"/>
        </w:rPr>
      </w:pPr>
      <w:r w:rsidRPr="00844FC4">
        <w:rPr>
          <w:rFonts w:ascii="Times New Roman" w:hAnsi="Times New Roman" w:cs="Times New Roman"/>
          <w:sz w:val="24"/>
          <w:szCs w:val="24"/>
          <w:lang w:val="en-US"/>
        </w:rPr>
        <w:t>The essay examines the contested role of public spaces in shaping cultural narratives</w:t>
      </w:r>
      <w:r w:rsidRPr="00844FC4">
        <w:rPr>
          <w:rFonts w:ascii="Times New Roman" w:hAnsi="Times New Roman" w:cs="Times New Roman"/>
          <w:sz w:val="24"/>
          <w:szCs w:val="24"/>
          <w:lang w:val="en-US"/>
        </w:rPr>
        <w:t xml:space="preserve">, taking forms as acts of protest, as what occurred with the mobilizations against police brutality, by creating historical memory about events of political violence in appropriated public spaces, as the </w:t>
      </w:r>
      <w:r w:rsidRPr="00844FC4">
        <w:rPr>
          <w:rFonts w:ascii="Times New Roman" w:hAnsi="Times New Roman" w:cs="Times New Roman"/>
          <w:sz w:val="24"/>
          <w:szCs w:val="24"/>
          <w:lang w:val="en-US"/>
        </w:rPr>
        <w:t>George Floyd Square in Minneapolis and the reclamation of Monument Avenue in Richmond illustrate how public acts of memorialization challenge dominant historical narratives.</w:t>
      </w:r>
      <w:r w:rsidRPr="00844FC4">
        <w:rPr>
          <w:rFonts w:ascii="Times New Roman" w:hAnsi="Times New Roman" w:cs="Times New Roman"/>
          <w:sz w:val="24"/>
          <w:szCs w:val="24"/>
          <w:lang w:val="en-US"/>
        </w:rPr>
        <w:t xml:space="preserve"> </w:t>
      </w:r>
      <w:r w:rsidRPr="00844FC4">
        <w:rPr>
          <w:rFonts w:ascii="Times New Roman" w:hAnsi="Times New Roman" w:cs="Times New Roman"/>
          <w:sz w:val="24"/>
          <w:szCs w:val="24"/>
          <w:lang w:val="en-US"/>
        </w:rPr>
        <w:t>Such initiatives, while ephemeral, raise critical questions about ownership, preservation, and the balance between grassroots spontaneity and institutional sanctioning.</w:t>
      </w:r>
      <w:r w:rsidR="00844FC4" w:rsidRPr="00844FC4">
        <w:rPr>
          <w:rFonts w:ascii="Times New Roman" w:hAnsi="Times New Roman" w:cs="Times New Roman"/>
          <w:sz w:val="24"/>
          <w:szCs w:val="24"/>
          <w:lang w:val="en-US"/>
        </w:rPr>
        <w:t xml:space="preserve"> </w:t>
      </w:r>
      <w:r w:rsidRPr="00844FC4">
        <w:rPr>
          <w:rFonts w:ascii="Times New Roman" w:hAnsi="Times New Roman" w:cs="Times New Roman"/>
          <w:sz w:val="24"/>
          <w:szCs w:val="24"/>
          <w:lang w:val="en-US"/>
        </w:rPr>
        <w:t xml:space="preserve">Berkowitz and </w:t>
      </w:r>
      <w:r w:rsidR="00844FC4" w:rsidRPr="00844FC4">
        <w:rPr>
          <w:rFonts w:ascii="Times New Roman" w:hAnsi="Times New Roman" w:cs="Times New Roman"/>
          <w:sz w:val="24"/>
          <w:szCs w:val="24"/>
          <w:lang w:val="en-US"/>
        </w:rPr>
        <w:t xml:space="preserve">Gibson </w:t>
      </w:r>
      <w:r w:rsidRPr="00844FC4">
        <w:rPr>
          <w:rFonts w:ascii="Times New Roman" w:hAnsi="Times New Roman" w:cs="Times New Roman"/>
          <w:sz w:val="24"/>
          <w:szCs w:val="24"/>
          <w:lang w:val="en-US"/>
        </w:rPr>
        <w:t>advocate for an expansive understanding of the humanities that centers on</w:t>
      </w:r>
      <w:r w:rsidRPr="00844FC4">
        <w:rPr>
          <w:rFonts w:ascii="Times New Roman" w:hAnsi="Times New Roman" w:cs="Times New Roman"/>
          <w:sz w:val="24"/>
          <w:szCs w:val="24"/>
          <w:lang w:val="en-US"/>
        </w:rPr>
        <w:t xml:space="preserve"> s</w:t>
      </w:r>
      <w:r w:rsidRPr="00844FC4">
        <w:rPr>
          <w:rFonts w:ascii="Times New Roman" w:hAnsi="Times New Roman" w:cs="Times New Roman"/>
          <w:sz w:val="24"/>
          <w:szCs w:val="24"/>
          <w:lang w:val="en-US"/>
        </w:rPr>
        <w:t xml:space="preserve">hared </w:t>
      </w:r>
      <w:r w:rsidRPr="00844FC4">
        <w:rPr>
          <w:rFonts w:ascii="Times New Roman" w:hAnsi="Times New Roman" w:cs="Times New Roman"/>
          <w:sz w:val="24"/>
          <w:szCs w:val="24"/>
          <w:lang w:val="en-US"/>
        </w:rPr>
        <w:t>h</w:t>
      </w:r>
      <w:r w:rsidRPr="00844FC4">
        <w:rPr>
          <w:rFonts w:ascii="Times New Roman" w:hAnsi="Times New Roman" w:cs="Times New Roman"/>
          <w:sz w:val="24"/>
          <w:szCs w:val="24"/>
          <w:lang w:val="en-US"/>
        </w:rPr>
        <w:t xml:space="preserve">uman </w:t>
      </w:r>
      <w:r w:rsidRPr="00844FC4">
        <w:rPr>
          <w:rFonts w:ascii="Times New Roman" w:hAnsi="Times New Roman" w:cs="Times New Roman"/>
          <w:sz w:val="24"/>
          <w:szCs w:val="24"/>
          <w:lang w:val="en-US"/>
        </w:rPr>
        <w:t>e</w:t>
      </w:r>
      <w:r w:rsidRPr="00844FC4">
        <w:rPr>
          <w:rFonts w:ascii="Times New Roman" w:hAnsi="Times New Roman" w:cs="Times New Roman"/>
          <w:sz w:val="24"/>
          <w:szCs w:val="24"/>
          <w:lang w:val="en-US"/>
        </w:rPr>
        <w:t>xperiences</w:t>
      </w:r>
      <w:r w:rsidRPr="00844FC4">
        <w:rPr>
          <w:rFonts w:ascii="Times New Roman" w:hAnsi="Times New Roman" w:cs="Times New Roman"/>
          <w:sz w:val="24"/>
          <w:szCs w:val="24"/>
          <w:lang w:val="en-US"/>
        </w:rPr>
        <w:t>, in a manner that</w:t>
      </w:r>
      <w:r w:rsidRPr="00844FC4">
        <w:rPr>
          <w:rFonts w:ascii="Times New Roman" w:hAnsi="Times New Roman" w:cs="Times New Roman"/>
          <w:sz w:val="24"/>
          <w:szCs w:val="24"/>
          <w:lang w:val="en-US"/>
        </w:rPr>
        <w:t xml:space="preserve"> help individuals understand diverse perspectives and histories, bridging cultural divides.</w:t>
      </w:r>
      <w:r w:rsidRPr="00844FC4">
        <w:rPr>
          <w:rFonts w:ascii="Times New Roman" w:hAnsi="Times New Roman" w:cs="Times New Roman"/>
          <w:sz w:val="24"/>
          <w:szCs w:val="24"/>
          <w:lang w:val="en-US"/>
        </w:rPr>
        <w:t xml:space="preserve"> </w:t>
      </w:r>
      <w:r w:rsidR="00844FC4" w:rsidRPr="00844FC4">
        <w:rPr>
          <w:rFonts w:ascii="Times New Roman" w:hAnsi="Times New Roman" w:cs="Times New Roman"/>
          <w:sz w:val="24"/>
          <w:szCs w:val="24"/>
          <w:lang w:val="en-US"/>
        </w:rPr>
        <w:t>And</w:t>
      </w:r>
      <w:r w:rsidRPr="00844FC4">
        <w:rPr>
          <w:rFonts w:ascii="Times New Roman" w:hAnsi="Times New Roman" w:cs="Times New Roman"/>
          <w:sz w:val="24"/>
          <w:szCs w:val="24"/>
          <w:lang w:val="en-US"/>
        </w:rPr>
        <w:t>, within a pragmatic perspective, b</w:t>
      </w:r>
      <w:r w:rsidRPr="00844FC4">
        <w:rPr>
          <w:rFonts w:ascii="Times New Roman" w:hAnsi="Times New Roman" w:cs="Times New Roman"/>
          <w:sz w:val="24"/>
          <w:szCs w:val="24"/>
          <w:lang w:val="en-US"/>
        </w:rPr>
        <w:t xml:space="preserve">y integrating disciplines like history, literature, and anthropology </w:t>
      </w:r>
      <w:r w:rsidRPr="00844FC4">
        <w:rPr>
          <w:rFonts w:ascii="Times New Roman" w:hAnsi="Times New Roman" w:cs="Times New Roman"/>
          <w:sz w:val="24"/>
          <w:szCs w:val="24"/>
          <w:lang w:val="en-US"/>
        </w:rPr>
        <w:lastRenderedPageBreak/>
        <w:t>with community engagement, the humanities can foster empathy, social cohesion, and cultural wisdom.</w:t>
      </w:r>
    </w:p>
    <w:p w14:paraId="00000003" w14:textId="71C48F1F" w:rsidR="006E78F5" w:rsidRPr="00844FC4" w:rsidRDefault="00046053" w:rsidP="00844FC4">
      <w:pPr>
        <w:spacing w:line="480" w:lineRule="auto"/>
        <w:jc w:val="both"/>
        <w:rPr>
          <w:rFonts w:ascii="Times New Roman" w:hAnsi="Times New Roman" w:cs="Times New Roman"/>
          <w:sz w:val="24"/>
          <w:szCs w:val="24"/>
          <w:lang w:val="en-US"/>
        </w:rPr>
      </w:pPr>
      <w:r w:rsidRPr="00844FC4">
        <w:rPr>
          <w:rFonts w:ascii="Times New Roman" w:hAnsi="Times New Roman" w:cs="Times New Roman"/>
          <w:sz w:val="24"/>
          <w:szCs w:val="24"/>
          <w:lang w:val="en-US"/>
        </w:rPr>
        <w:t>Berkowitz and Gibson conclude by asserting that the public humanities, grounded in community-driven initiatives, represent a thriving aspect of the field. They challenge the notion of a humanities "crisis," arguing instead for a redefinition that celebrates diversity, inclusion, and grassroots creativity. By fostering partnerships and addressing systemic barriers, the humanities can achieve their potential as a tool for social justice, cultural understanding, and collective progress.</w:t>
      </w:r>
    </w:p>
    <w:sectPr w:rsidR="006E78F5" w:rsidRPr="00844FC4">
      <w:headerReference w:type="default"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2B09F6" w14:textId="77777777" w:rsidR="003478A2" w:rsidRDefault="003478A2" w:rsidP="00046053">
      <w:pPr>
        <w:spacing w:line="240" w:lineRule="auto"/>
      </w:pPr>
      <w:r>
        <w:separator/>
      </w:r>
    </w:p>
  </w:endnote>
  <w:endnote w:type="continuationSeparator" w:id="0">
    <w:p w14:paraId="018733EB" w14:textId="77777777" w:rsidR="003478A2" w:rsidRDefault="003478A2" w:rsidP="000460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1155584"/>
      <w:docPartObj>
        <w:docPartGallery w:val="Page Numbers (Bottom of Page)"/>
        <w:docPartUnique/>
      </w:docPartObj>
    </w:sdtPr>
    <w:sdtContent>
      <w:p w14:paraId="7C4661F9" w14:textId="5A3DF462" w:rsidR="00844FC4" w:rsidRDefault="00844FC4">
        <w:pPr>
          <w:pStyle w:val="Piedepgina"/>
          <w:jc w:val="right"/>
        </w:pPr>
        <w:r>
          <w:fldChar w:fldCharType="begin"/>
        </w:r>
        <w:r>
          <w:instrText>PAGE   \* MERGEFORMAT</w:instrText>
        </w:r>
        <w:r>
          <w:fldChar w:fldCharType="separate"/>
        </w:r>
        <w:r>
          <w:rPr>
            <w:lang w:val="es-ES"/>
          </w:rPr>
          <w:t>2</w:t>
        </w:r>
        <w:r>
          <w:fldChar w:fldCharType="end"/>
        </w:r>
      </w:p>
    </w:sdtContent>
  </w:sdt>
  <w:p w14:paraId="59452374" w14:textId="77777777" w:rsidR="00844FC4" w:rsidRDefault="00844F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A8C862" w14:textId="77777777" w:rsidR="003478A2" w:rsidRDefault="003478A2" w:rsidP="00046053">
      <w:pPr>
        <w:spacing w:line="240" w:lineRule="auto"/>
      </w:pPr>
      <w:r>
        <w:separator/>
      </w:r>
    </w:p>
  </w:footnote>
  <w:footnote w:type="continuationSeparator" w:id="0">
    <w:p w14:paraId="4A7C03E5" w14:textId="77777777" w:rsidR="003478A2" w:rsidRDefault="003478A2" w:rsidP="000460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C0E646" w14:textId="66A0A9CC" w:rsidR="00046053" w:rsidRPr="00046053" w:rsidRDefault="00046053" w:rsidP="00046053">
    <w:pPr>
      <w:pStyle w:val="Encabezado"/>
      <w:rPr>
        <w:rFonts w:ascii="Times New Roman" w:hAnsi="Times New Roman" w:cs="Times New Roman"/>
        <w:lang w:val="en-US"/>
      </w:rPr>
    </w:pPr>
    <w:r w:rsidRPr="00046053">
      <w:rPr>
        <w:rFonts w:ascii="Times New Roman" w:hAnsi="Times New Roman" w:cs="Times New Roman"/>
        <w:lang w:val="en-US"/>
      </w:rPr>
      <w:t>INT201HT – Fall 2024</w:t>
    </w:r>
    <w:r w:rsidRPr="00046053">
      <w:rPr>
        <w:rFonts w:ascii="Times New Roman" w:hAnsi="Times New Roman" w:cs="Times New Roman"/>
        <w:lang w:val="en-US"/>
      </w:rPr>
      <w:tab/>
    </w:r>
    <w:r w:rsidRPr="00046053">
      <w:rPr>
        <w:rFonts w:ascii="Times New Roman" w:hAnsi="Times New Roman" w:cs="Times New Roman"/>
        <w:lang w:val="en-US"/>
      </w:rPr>
      <w:tab/>
      <w:t xml:space="preserve">Summary Week </w:t>
    </w:r>
    <w:r w:rsidRPr="00844FC4">
      <w:rPr>
        <w:rFonts w:ascii="Times New Roman" w:hAnsi="Times New Roman" w:cs="Times New Roman"/>
        <w:lang w:val="en-US"/>
      </w:rPr>
      <w:t>9</w:t>
    </w:r>
  </w:p>
  <w:p w14:paraId="6F79660A" w14:textId="714EEFD5" w:rsidR="00046053" w:rsidRPr="00844FC4" w:rsidRDefault="00046053" w:rsidP="00046053">
    <w:pPr>
      <w:pStyle w:val="Encabezado"/>
      <w:rPr>
        <w:rFonts w:ascii="Times New Roman" w:hAnsi="Times New Roman" w:cs="Times New Roman"/>
        <w:lang w:val="en-US"/>
      </w:rPr>
    </w:pPr>
    <w:r w:rsidRPr="00844FC4">
      <w:rPr>
        <w:rFonts w:ascii="Times New Roman" w:hAnsi="Times New Roman" w:cs="Times New Roman"/>
        <w:lang w:val="en-US"/>
      </w:rPr>
      <w:t>Prof. Susan Derwin</w:t>
    </w:r>
    <w:r w:rsidRPr="00844FC4">
      <w:rPr>
        <w:rFonts w:ascii="Times New Roman" w:hAnsi="Times New Roman" w:cs="Times New Roman"/>
        <w:lang w:val="en-US"/>
      </w:rPr>
      <w:tab/>
    </w:r>
    <w:r w:rsidRPr="00844FC4">
      <w:rPr>
        <w:rFonts w:ascii="Times New Roman" w:hAnsi="Times New Roman" w:cs="Times New Roman"/>
        <w:lang w:val="en-US"/>
      </w:rPr>
      <w:tab/>
      <w:t>José Manuel Mejía Villena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8F5"/>
    <w:rsid w:val="00046053"/>
    <w:rsid w:val="00297BFD"/>
    <w:rsid w:val="003478A2"/>
    <w:rsid w:val="006E78F5"/>
    <w:rsid w:val="00844FC4"/>
    <w:rsid w:val="00A36B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C6BBA"/>
  <w15:docId w15:val="{0D4A21AC-BD4E-4956-A252-46E8DC92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04605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46053"/>
  </w:style>
  <w:style w:type="paragraph" w:styleId="Piedepgina">
    <w:name w:val="footer"/>
    <w:basedOn w:val="Normal"/>
    <w:link w:val="PiedepginaCar"/>
    <w:uiPriority w:val="99"/>
    <w:unhideWhenUsed/>
    <w:rsid w:val="0004605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460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4411">
      <w:bodyDiv w:val="1"/>
      <w:marLeft w:val="0"/>
      <w:marRight w:val="0"/>
      <w:marTop w:val="0"/>
      <w:marBottom w:val="0"/>
      <w:divBdr>
        <w:top w:val="none" w:sz="0" w:space="0" w:color="auto"/>
        <w:left w:val="none" w:sz="0" w:space="0" w:color="auto"/>
        <w:bottom w:val="none" w:sz="0" w:space="0" w:color="auto"/>
        <w:right w:val="none" w:sz="0" w:space="0" w:color="auto"/>
      </w:divBdr>
    </w:div>
    <w:div w:id="399209928">
      <w:bodyDiv w:val="1"/>
      <w:marLeft w:val="0"/>
      <w:marRight w:val="0"/>
      <w:marTop w:val="0"/>
      <w:marBottom w:val="0"/>
      <w:divBdr>
        <w:top w:val="none" w:sz="0" w:space="0" w:color="auto"/>
        <w:left w:val="none" w:sz="0" w:space="0" w:color="auto"/>
        <w:bottom w:val="none" w:sz="0" w:space="0" w:color="auto"/>
        <w:right w:val="none" w:sz="0" w:space="0" w:color="auto"/>
      </w:divBdr>
    </w:div>
    <w:div w:id="649093523">
      <w:bodyDiv w:val="1"/>
      <w:marLeft w:val="0"/>
      <w:marRight w:val="0"/>
      <w:marTop w:val="0"/>
      <w:marBottom w:val="0"/>
      <w:divBdr>
        <w:top w:val="none" w:sz="0" w:space="0" w:color="auto"/>
        <w:left w:val="none" w:sz="0" w:space="0" w:color="auto"/>
        <w:bottom w:val="none" w:sz="0" w:space="0" w:color="auto"/>
        <w:right w:val="none" w:sz="0" w:space="0" w:color="auto"/>
      </w:divBdr>
    </w:div>
    <w:div w:id="1466698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694</Words>
  <Characters>3823</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dc:creator>
  <cp:lastModifiedBy>51964</cp:lastModifiedBy>
  <cp:revision>2</cp:revision>
  <dcterms:created xsi:type="dcterms:W3CDTF">2024-11-15T11:19:00Z</dcterms:created>
  <dcterms:modified xsi:type="dcterms:W3CDTF">2024-11-15T11:19:00Z</dcterms:modified>
</cp:coreProperties>
</file>