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6DF9" w14:textId="77777777" w:rsidR="00B41113" w:rsidRDefault="00B41113" w:rsidP="00B41113">
      <w:pPr>
        <w:spacing w:line="480" w:lineRule="auto"/>
        <w:jc w:val="center"/>
        <w:rPr>
          <w:lang w:val="en-US"/>
        </w:rPr>
      </w:pPr>
      <w:r>
        <w:rPr>
          <w:lang w:val="en-US"/>
        </w:rPr>
        <w:t>Tentative t</w:t>
      </w:r>
      <w:r w:rsidR="003A4316" w:rsidRPr="003A4316">
        <w:rPr>
          <w:lang w:val="en-US"/>
        </w:rPr>
        <w:t>itle:</w:t>
      </w:r>
    </w:p>
    <w:p w14:paraId="5376BE9D" w14:textId="3E2241BF" w:rsidR="003A4316" w:rsidRDefault="00B41113" w:rsidP="00B41113">
      <w:pPr>
        <w:spacing w:line="480" w:lineRule="auto"/>
        <w:jc w:val="center"/>
        <w:rPr>
          <w:lang w:val="en-US"/>
        </w:rPr>
      </w:pPr>
      <w:r>
        <w:rPr>
          <w:lang w:val="en-US"/>
        </w:rPr>
        <w:t>Keywords:</w:t>
      </w:r>
      <w:r w:rsidR="003A4316" w:rsidRPr="003A4316">
        <w:rPr>
          <w:lang w:val="en-US"/>
        </w:rPr>
        <w:t xml:space="preserve"> A</w:t>
      </w:r>
      <w:r>
        <w:rPr>
          <w:lang w:val="en-US"/>
        </w:rPr>
        <w:t xml:space="preserve">merican </w:t>
      </w:r>
      <w:proofErr w:type="spellStart"/>
      <w:r>
        <w:rPr>
          <w:lang w:val="en-US"/>
        </w:rPr>
        <w:t>Palestinan</w:t>
      </w:r>
      <w:proofErr w:type="spellEnd"/>
      <w:r>
        <w:rPr>
          <w:lang w:val="en-US"/>
        </w:rPr>
        <w:t xml:space="preserve"> Protests (APP),</w:t>
      </w:r>
      <w:r w:rsidR="003A4316" w:rsidRPr="003A4316">
        <w:rPr>
          <w:lang w:val="en-US"/>
        </w:rPr>
        <w:t xml:space="preserve"> frame, performances, repertories</w:t>
      </w:r>
      <w:r>
        <w:rPr>
          <w:lang w:val="en-US"/>
        </w:rPr>
        <w:t>, frame</w:t>
      </w:r>
      <w:r w:rsidR="003A4316">
        <w:rPr>
          <w:lang w:val="en-US"/>
        </w:rPr>
        <w:t xml:space="preserve"> analysis</w:t>
      </w:r>
      <w:r>
        <w:rPr>
          <w:lang w:val="en-US"/>
        </w:rPr>
        <w:t>, primary frameworks, Actor-Performance-Target</w:t>
      </w:r>
    </w:p>
    <w:p w14:paraId="3247469D" w14:textId="18A3C655" w:rsidR="003A4316" w:rsidRDefault="003A4316" w:rsidP="00C26626">
      <w:pPr>
        <w:spacing w:line="480" w:lineRule="auto"/>
        <w:rPr>
          <w:b/>
          <w:bCs/>
          <w:lang w:val="en-US"/>
        </w:rPr>
      </w:pPr>
      <w:r w:rsidRPr="00D07153">
        <w:rPr>
          <w:b/>
          <w:bCs/>
          <w:lang w:val="en-US"/>
        </w:rPr>
        <w:t>Introduction</w:t>
      </w:r>
    </w:p>
    <w:p w14:paraId="6DF727F1" w14:textId="77777777" w:rsidR="00413265" w:rsidRDefault="00413265" w:rsidP="00413265">
      <w:pPr>
        <w:spacing w:line="480" w:lineRule="auto"/>
        <w:rPr>
          <w:lang w:val="en-US"/>
        </w:rPr>
      </w:pPr>
      <w:r>
        <w:rPr>
          <w:lang w:val="en-US"/>
        </w:rPr>
        <w:t>The influence of Erving Goffman over the historical political sociology of Charles Tilly is much clear in the translation of the concept of performance to the political contention, emphasizing the necessity to offer attention to the interplay between cognitive processes and social transactions.</w:t>
      </w:r>
    </w:p>
    <w:p w14:paraId="3DC43F9D" w14:textId="77777777" w:rsidR="00413265" w:rsidRDefault="00413265" w:rsidP="00413265">
      <w:pPr>
        <w:spacing w:line="480" w:lineRule="auto"/>
        <w:rPr>
          <w:lang w:val="en-US"/>
        </w:rPr>
      </w:pPr>
      <w:r>
        <w:rPr>
          <w:lang w:val="en-US"/>
        </w:rPr>
        <w:t xml:space="preserve">By the present approach to the American Palestinian Protests (APP) as a concrete contentious interaction, I will follow the advancements in the literature related to the application of primary frameworks made by </w:t>
      </w:r>
      <w:r>
        <w:rPr>
          <w:lang w:val="en-US"/>
        </w:rPr>
        <w:fldChar w:fldCharType="begin"/>
      </w:r>
      <w:r>
        <w:rPr>
          <w:lang w:val="en-US"/>
        </w:rPr>
        <w:instrText xml:space="preserve"> ADDIN ZOTERO_ITEM CSL_CITATION {"citationID":"U5E20MZe","properties":{"formattedCitation":"(Johnston and Alimi 2012)","plainCitation":"(Johnston and Alimi 2012)","noteIndex":0},"citationItems":[{"id":5174,"uris":["http://zotero.org/users/4081719/items/7HWX9MTB"],"itemData":{"id":5174,"type":"article-journal","container-title":"Political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Pr>
          <w:lang w:val="en-US"/>
        </w:rPr>
        <w:fldChar w:fldCharType="separate"/>
      </w:r>
      <w:r w:rsidRPr="00B41113">
        <w:rPr>
          <w:rFonts w:ascii="Aptos" w:hAnsi="Aptos"/>
          <w:lang w:val="en-US"/>
        </w:rPr>
        <w:t xml:space="preserve">Johnston and Alimi </w:t>
      </w:r>
      <w:r>
        <w:rPr>
          <w:rFonts w:ascii="Aptos" w:hAnsi="Aptos"/>
          <w:lang w:val="en-US"/>
        </w:rPr>
        <w:t>(</w:t>
      </w:r>
      <w:r w:rsidRPr="00B41113">
        <w:rPr>
          <w:rFonts w:ascii="Aptos" w:hAnsi="Aptos"/>
          <w:lang w:val="en-US"/>
        </w:rPr>
        <w:t>2012)</w:t>
      </w:r>
      <w:r>
        <w:rPr>
          <w:lang w:val="en-US"/>
        </w:rPr>
        <w:fldChar w:fldCharType="end"/>
      </w:r>
      <w:r>
        <w:rPr>
          <w:lang w:val="en-US"/>
        </w:rPr>
        <w:t xml:space="preserve"> using the triplet Subject-Verb-Object, to explain the dislocation of the performances of struggle of the APP in relation to the historical formation of the elements of this triplet in the Palestine-Israel contention, at the light of the literature review.</w:t>
      </w:r>
    </w:p>
    <w:p w14:paraId="2CC935A4" w14:textId="77777777" w:rsidR="00413265" w:rsidRDefault="00413265" w:rsidP="00413265">
      <w:pPr>
        <w:spacing w:line="480" w:lineRule="auto"/>
        <w:rPr>
          <w:lang w:val="en-US"/>
        </w:rPr>
      </w:pPr>
      <w:r>
        <w:rPr>
          <w:lang w:val="en-US"/>
        </w:rPr>
        <w:t xml:space="preserve">I’m holding in the translation of the concept of performance from the interactional framework of Goffman to the transactional framework of Charles Tilly as embedded in the theoretical trajectory through the strength of a relational sociology </w:t>
      </w:r>
      <w:r>
        <w:rPr>
          <w:lang w:val="en-US"/>
        </w:rPr>
        <w:fldChar w:fldCharType="begin"/>
      </w:r>
      <w:r>
        <w:rPr>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Pr>
          <w:lang w:val="en-US"/>
        </w:rPr>
        <w:fldChar w:fldCharType="separate"/>
      </w:r>
      <w:r w:rsidRPr="002B2F3B">
        <w:rPr>
          <w:rFonts w:ascii="Aptos" w:hAnsi="Aptos"/>
          <w:lang w:val="en-US"/>
        </w:rPr>
        <w:t>(</w:t>
      </w:r>
      <w:proofErr w:type="spellStart"/>
      <w:r w:rsidRPr="002B2F3B">
        <w:rPr>
          <w:rFonts w:ascii="Aptos" w:hAnsi="Aptos"/>
          <w:lang w:val="en-US"/>
        </w:rPr>
        <w:t>Emirbayer</w:t>
      </w:r>
      <w:proofErr w:type="spellEnd"/>
      <w:r w:rsidRPr="002B2F3B">
        <w:rPr>
          <w:rFonts w:ascii="Aptos" w:hAnsi="Aptos"/>
          <w:lang w:val="en-US"/>
        </w:rPr>
        <w:t xml:space="preserve"> 1997)</w:t>
      </w:r>
      <w:r>
        <w:rPr>
          <w:lang w:val="en-US"/>
        </w:rPr>
        <w:fldChar w:fldCharType="end"/>
      </w:r>
      <w:r>
        <w:rPr>
          <w:lang w:val="en-US"/>
        </w:rPr>
        <w:t>, to think in the Subject-Verb-Object triplet</w:t>
      </w:r>
      <w:r w:rsidRPr="00D03E7D">
        <w:rPr>
          <w:lang w:val="en-US"/>
        </w:rPr>
        <w:t xml:space="preserve"> </w:t>
      </w:r>
      <w:r>
        <w:rPr>
          <w:lang w:val="en-US"/>
        </w:rPr>
        <w:t xml:space="preserve">structure developed mainly by Roberto </w:t>
      </w:r>
      <w:proofErr w:type="spellStart"/>
      <w:r>
        <w:rPr>
          <w:lang w:val="en-US"/>
        </w:rPr>
        <w:t>Franzosi</w:t>
      </w:r>
      <w:proofErr w:type="spellEnd"/>
      <w:r>
        <w:rPr>
          <w:lang w:val="en-US"/>
        </w:rPr>
        <w:t xml:space="preserve"> </w:t>
      </w:r>
      <w:r>
        <w:rPr>
          <w:lang w:val="en-US"/>
        </w:rPr>
        <w:fldChar w:fldCharType="begin"/>
      </w:r>
      <w:r>
        <w:rPr>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Pr>
          <w:lang w:val="en-US"/>
        </w:rPr>
        <w:fldChar w:fldCharType="separate"/>
      </w:r>
      <w:r w:rsidRPr="002B2F3B">
        <w:rPr>
          <w:rFonts w:ascii="Aptos" w:hAnsi="Aptos"/>
          <w:lang w:val="en-US"/>
        </w:rPr>
        <w:t>(2006)</w:t>
      </w:r>
      <w:r>
        <w:rPr>
          <w:lang w:val="en-US"/>
        </w:rPr>
        <w:fldChar w:fldCharType="end"/>
      </w:r>
      <w:r>
        <w:rPr>
          <w:lang w:val="en-US"/>
        </w:rPr>
        <w:t xml:space="preserve"> for the analysis of contentious interactions as an Actor-Performance-Target triplet which elements configure the organization of the experience, governing the definition of the “sense of realness” of the structured individual experience of the events of social life (Goffman 1976, 10-11, 13), in this particular case about the events of social life that configure the dynamic of contention of the Palestine-Israel conflict as the primary framework by which the APP had meaning until a point in which it don’t have any more. And its impossibilities for keying the events of the Palestine-Israel contention finished in </w:t>
      </w:r>
      <w:r>
        <w:rPr>
          <w:lang w:val="en-US"/>
        </w:rPr>
        <w:lastRenderedPageBreak/>
        <w:t>“weird” unsuccessful attempts to modify its organizations, coalitions, performances, and targets, finally limited, ineffective and completely embedded in its concrete and institutionalized field of contention which is reduced to the College campuses.</w:t>
      </w:r>
    </w:p>
    <w:p w14:paraId="3D43D2B4" w14:textId="42D4A086" w:rsidR="00413265" w:rsidRPr="00413265" w:rsidRDefault="00413265" w:rsidP="00C26626">
      <w:pPr>
        <w:spacing w:line="480" w:lineRule="auto"/>
        <w:rPr>
          <w:lang w:val="en-US"/>
        </w:rPr>
      </w:pPr>
      <w:r>
        <w:rPr>
          <w:lang w:val="en-US"/>
        </w:rPr>
        <w:t xml:space="preserve">The frame limits of the APP “lived experience” of the Palestine-Israel contention were clearly defined, temporally and institutionally by the deviant act of Raisi’s martyrization (whose responsibility is not in question here), evidencing the impossibility of keying by the APP organizers while it’s configurative elements defined by the biography of the challengers, the type of performances grounded in its cultural repertoire, and the targets to which its political action is directed and, also, but not yet considered the concrete political claims proper of the Palestine-Israel contention in a multilevel polity </w:t>
      </w:r>
      <w:r>
        <w:rPr>
          <w:lang w:val="en-US"/>
        </w:rPr>
        <w:fldChar w:fldCharType="begin"/>
      </w:r>
      <w:r>
        <w:rPr>
          <w:lang w:val="en-US"/>
        </w:rPr>
        <w:instrText xml:space="preserve"> ADDIN ZOTERO_ITEM CSL_CITATION {"citationID":"VggXgkaS","properties":{"formattedCitation":"(Imig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Pr>
          <w:lang w:val="en-US"/>
        </w:rPr>
        <w:fldChar w:fldCharType="separate"/>
      </w:r>
      <w:r w:rsidRPr="00B22E1F">
        <w:rPr>
          <w:rFonts w:ascii="Aptos" w:hAnsi="Aptos"/>
          <w:lang w:val="en-US"/>
        </w:rPr>
        <w:t>(Imig and Tarrow 2001)</w:t>
      </w:r>
      <w:r>
        <w:rPr>
          <w:lang w:val="en-US"/>
        </w:rPr>
        <w:fldChar w:fldCharType="end"/>
      </w:r>
      <w:r>
        <w:rPr>
          <w:lang w:val="en-US"/>
        </w:rPr>
        <w:t>.</w:t>
      </w:r>
    </w:p>
    <w:p w14:paraId="01AD8844" w14:textId="581E0A48" w:rsidR="00413265" w:rsidRPr="00413265" w:rsidRDefault="00413265" w:rsidP="00C26626">
      <w:pPr>
        <w:spacing w:line="480" w:lineRule="auto"/>
        <w:rPr>
          <w:b/>
          <w:bCs/>
          <w:lang w:val="en-US"/>
        </w:rPr>
      </w:pPr>
      <w:r>
        <w:rPr>
          <w:b/>
          <w:bCs/>
          <w:lang w:val="en-US"/>
        </w:rPr>
        <w:t>A contentious theory approach to the APP dislocation from the primary framework of the Palestine-Israel conflict</w:t>
      </w:r>
    </w:p>
    <w:p w14:paraId="70B8E88C" w14:textId="72D54836" w:rsidR="00F66682" w:rsidRDefault="008356CC" w:rsidP="00C26626">
      <w:pPr>
        <w:spacing w:line="480" w:lineRule="auto"/>
        <w:rPr>
          <w:lang w:val="en-US"/>
        </w:rPr>
      </w:pPr>
      <w:r>
        <w:rPr>
          <w:lang w:val="en-US"/>
        </w:rPr>
        <w:t>I</w:t>
      </w:r>
      <w:r w:rsidR="00CE1A7F">
        <w:rPr>
          <w:lang w:val="en-US"/>
        </w:rPr>
        <w:t>n this case the performances executed in the AP</w:t>
      </w:r>
      <w:r w:rsidR="00B82A51">
        <w:rPr>
          <w:lang w:val="en-US"/>
        </w:rPr>
        <w:t xml:space="preserve">P </w:t>
      </w:r>
      <w:r w:rsidR="00413265">
        <w:rPr>
          <w:lang w:val="en-US"/>
        </w:rPr>
        <w:t>were</w:t>
      </w:r>
      <w:r w:rsidR="00B82A51">
        <w:rPr>
          <w:lang w:val="en-US"/>
        </w:rPr>
        <w:t xml:space="preserve"> dislocated in relation </w:t>
      </w:r>
      <w:r w:rsidR="00CE1A7F">
        <w:rPr>
          <w:lang w:val="en-US"/>
        </w:rPr>
        <w:t xml:space="preserve">with the development of the triplets historically </w:t>
      </w:r>
      <w:r w:rsidR="00B82A51">
        <w:rPr>
          <w:lang w:val="en-US"/>
        </w:rPr>
        <w:t>formed</w:t>
      </w:r>
      <w:r w:rsidR="00CE1A7F">
        <w:rPr>
          <w:lang w:val="en-US"/>
        </w:rPr>
        <w:t xml:space="preserve"> in the biography of the Actor-Performance-</w:t>
      </w:r>
      <w:r w:rsidR="00413265">
        <w:rPr>
          <w:lang w:val="en-US"/>
        </w:rPr>
        <w:t>Target</w:t>
      </w:r>
      <w:r w:rsidR="00CE1A7F">
        <w:rPr>
          <w:lang w:val="en-US"/>
        </w:rPr>
        <w:t xml:space="preserve"> triplet</w:t>
      </w:r>
      <w:r w:rsidR="00B82A51">
        <w:rPr>
          <w:lang w:val="en-US"/>
        </w:rPr>
        <w:t>, while still providing a lived emotional experience powerfully driven by social media</w:t>
      </w:r>
      <w:r w:rsidR="00211102">
        <w:rPr>
          <w:lang w:val="en-US"/>
        </w:rPr>
        <w:t xml:space="preserve"> “creating its own special and separate field of existence” (Goffman 1976, 5).</w:t>
      </w:r>
      <w:r w:rsidR="00413265">
        <w:rPr>
          <w:lang w:val="en-US"/>
        </w:rPr>
        <w:t xml:space="preserve"> </w:t>
      </w:r>
      <w:r w:rsidR="00CE1A7F">
        <w:rPr>
          <w:lang w:val="en-US"/>
        </w:rPr>
        <w:t>In the course of this identification of what I recognize as a dislocation of the experience of the AP</w:t>
      </w:r>
      <w:r w:rsidR="00211102">
        <w:rPr>
          <w:lang w:val="en-US"/>
        </w:rPr>
        <w:t>P</w:t>
      </w:r>
      <w:r w:rsidR="00CE1A7F">
        <w:rPr>
          <w:lang w:val="en-US"/>
        </w:rPr>
        <w:t xml:space="preserve"> in relation with the </w:t>
      </w:r>
      <w:r w:rsidR="002B4064">
        <w:rPr>
          <w:lang w:val="en-US"/>
        </w:rPr>
        <w:t>frame in which the triplet of the Palestinian-Israel conflict was develope</w:t>
      </w:r>
      <w:r w:rsidR="00211102">
        <w:rPr>
          <w:lang w:val="en-US"/>
        </w:rPr>
        <w:t>d internationally</w:t>
      </w:r>
      <w:r w:rsidR="002B4064">
        <w:rPr>
          <w:lang w:val="en-US"/>
        </w:rPr>
        <w:t>, to not speak about the Islamic struggles</w:t>
      </w:r>
      <w:r w:rsidR="00211102">
        <w:rPr>
          <w:lang w:val="en-US"/>
        </w:rPr>
        <w:t xml:space="preserve"> as a set</w:t>
      </w:r>
      <w:r w:rsidR="002B4064">
        <w:rPr>
          <w:lang w:val="en-US"/>
        </w:rPr>
        <w:t xml:space="preserve"> and </w:t>
      </w:r>
      <w:r w:rsidR="00211102">
        <w:rPr>
          <w:lang w:val="en-US"/>
        </w:rPr>
        <w:t xml:space="preserve">the </w:t>
      </w:r>
      <w:r w:rsidR="002B4064">
        <w:rPr>
          <w:lang w:val="en-US"/>
        </w:rPr>
        <w:t>international conflicts completely embedded in the geopolitical biography of the collective identities which have meaning and real political effects, or have aims which can be real in their consequences</w:t>
      </w:r>
      <w:r w:rsidR="00211102">
        <w:rPr>
          <w:lang w:val="en-US"/>
        </w:rPr>
        <w:t>, and not only in the lived experience of mobilization created by the APP.</w:t>
      </w:r>
    </w:p>
    <w:p w14:paraId="5079E35D" w14:textId="77777777" w:rsidR="005B7117" w:rsidRDefault="002B4064" w:rsidP="00C26626">
      <w:pPr>
        <w:spacing w:line="480" w:lineRule="auto"/>
        <w:rPr>
          <w:lang w:val="en-US"/>
        </w:rPr>
      </w:pPr>
      <w:r>
        <w:rPr>
          <w:lang w:val="en-US"/>
        </w:rPr>
        <w:lastRenderedPageBreak/>
        <w:t xml:space="preserve">For the recognition of this dislocation certain deviant act as the martyrization of </w:t>
      </w:r>
      <w:r w:rsidR="00E44FD1">
        <w:rPr>
          <w:lang w:val="en-US"/>
        </w:rPr>
        <w:t xml:space="preserve">Ebrahim </w:t>
      </w:r>
      <w:r>
        <w:rPr>
          <w:lang w:val="en-US"/>
        </w:rPr>
        <w:t xml:space="preserve">Raisi, the Iranian President unofficially murdered in a helicopter </w:t>
      </w:r>
      <w:r w:rsidR="00E44FD1">
        <w:rPr>
          <w:lang w:val="en-US"/>
        </w:rPr>
        <w:t>incident on May 19</w:t>
      </w:r>
      <w:r w:rsidR="00E44FD1" w:rsidRPr="00E44FD1">
        <w:rPr>
          <w:vertAlign w:val="superscript"/>
          <w:lang w:val="en-US"/>
        </w:rPr>
        <w:t>th</w:t>
      </w:r>
      <w:r w:rsidR="00E44FD1">
        <w:rPr>
          <w:lang w:val="en-US"/>
        </w:rPr>
        <w:t>, 2024, was necessary to “undermine the intelligibility of everything else we had thought was going around us, including all next acts, thus generating diffuse disorder” (Goffman 1976, 5)</w:t>
      </w:r>
      <w:r w:rsidR="00211102">
        <w:rPr>
          <w:lang w:val="en-US"/>
        </w:rPr>
        <w:t xml:space="preserve">. This event find the APP completely lost, the attention of the social media </w:t>
      </w:r>
      <w:r w:rsidR="002E50F4">
        <w:rPr>
          <w:lang w:val="en-US"/>
        </w:rPr>
        <w:t>dedicated</w:t>
      </w:r>
      <w:r w:rsidR="00211102">
        <w:rPr>
          <w:lang w:val="en-US"/>
        </w:rPr>
        <w:t xml:space="preserve"> </w:t>
      </w:r>
      <w:r w:rsidR="002E50F4">
        <w:rPr>
          <w:lang w:val="en-US"/>
        </w:rPr>
        <w:t>for weeks</w:t>
      </w:r>
      <w:r w:rsidR="00211102">
        <w:rPr>
          <w:lang w:val="en-US"/>
        </w:rPr>
        <w:t xml:space="preserve"> </w:t>
      </w:r>
      <w:r w:rsidR="002E50F4">
        <w:rPr>
          <w:lang w:val="en-US"/>
        </w:rPr>
        <w:t xml:space="preserve">to stress </w:t>
      </w:r>
      <w:r w:rsidR="00211102">
        <w:rPr>
          <w:lang w:val="en-US"/>
        </w:rPr>
        <w:t xml:space="preserve">the “power” of the college students </w:t>
      </w:r>
      <w:r w:rsidR="002E50F4">
        <w:rPr>
          <w:lang w:val="en-US"/>
        </w:rPr>
        <w:t xml:space="preserve">in reaching a “potential” cease fire for freeing Palestine, neither the organizations leading the APP as the coalition SJP-PSL could reestablish the framework in which the “transnational” effects of the APP over the Palestine-Israel conflict realized as dislocated, after a clear an direct response of Joe Biden as the President of the U.S. supporting Israel after the declaration of the ICC to initiate the incarceration process of the Israel prime minister among other top Israel authorities executing the actual genocide against Palestine. </w:t>
      </w:r>
    </w:p>
    <w:p w14:paraId="311C198B" w14:textId="77777777" w:rsidR="00531EEB" w:rsidRDefault="0014351F" w:rsidP="00C26626">
      <w:pPr>
        <w:spacing w:line="480" w:lineRule="auto"/>
        <w:rPr>
          <w:lang w:val="en-US"/>
        </w:rPr>
      </w:pPr>
      <w:r>
        <w:rPr>
          <w:lang w:val="en-US"/>
        </w:rPr>
        <w:t>The</w:t>
      </w:r>
      <w:r w:rsidR="002E50F4">
        <w:rPr>
          <w:lang w:val="en-US"/>
        </w:rPr>
        <w:t xml:space="preserve"> deviant act</w:t>
      </w:r>
      <w:r>
        <w:rPr>
          <w:lang w:val="en-US"/>
        </w:rPr>
        <w:t xml:space="preserve"> of </w:t>
      </w:r>
      <w:r w:rsidR="002E50F4">
        <w:rPr>
          <w:lang w:val="en-US"/>
        </w:rPr>
        <w:t>Raisi’s martyrization</w:t>
      </w:r>
      <w:r>
        <w:rPr>
          <w:lang w:val="en-US"/>
        </w:rPr>
        <w:t xml:space="preserve"> and the “dead point” response of U.S. to the ICC decision, is preceded by the Joint Statement subscribed by Vladimir Putin and Xi Jinping in Beijing </w:t>
      </w:r>
      <w:r w:rsidR="00C26626">
        <w:rPr>
          <w:lang w:val="en-US"/>
        </w:rPr>
        <w:t>on</w:t>
      </w:r>
      <w:r>
        <w:rPr>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Pr>
          <w:lang w:val="en-US"/>
        </w:rPr>
        <w:t>offer</w:t>
      </w:r>
      <w:r>
        <w:rPr>
          <w:lang w:val="en-US"/>
        </w:rPr>
        <w:t xml:space="preserve"> a “sense of realness” to the mobilizing efforts of the college students bitten an</w:t>
      </w:r>
      <w:r w:rsidR="00C26626">
        <w:rPr>
          <w:lang w:val="en-US"/>
        </w:rPr>
        <w:t xml:space="preserve">d detained by militarized police repression. </w:t>
      </w:r>
    </w:p>
    <w:p w14:paraId="70E18431" w14:textId="0EA78D0E" w:rsidR="007B56A9" w:rsidRDefault="00C26626" w:rsidP="00C26626">
      <w:pPr>
        <w:spacing w:line="480" w:lineRule="auto"/>
        <w:rPr>
          <w:lang w:val="en-US"/>
        </w:rPr>
      </w:pPr>
      <w:r>
        <w:rPr>
          <w:lang w:val="en-US"/>
        </w:rPr>
        <w:t xml:space="preserve">The “cease fire” “free Palestine” “de-invest” main claims of the APP then “experience” also the impossibility of escalation only by the “transnationalization” of a “struggle” which were labeled as “a global movement”, as if the process of escalation of political contention from the local to the international multilevel polity could be reached only by the operation of cognitive mechanisms as the attribution of threat/opportunity, or the frame building </w:t>
      </w:r>
      <w:r>
        <w:rPr>
          <w:lang w:val="en-US"/>
        </w:rPr>
        <w:lastRenderedPageBreak/>
        <w:t>developed mainly by academics related to the APP by certain kind of coalitions shared under the leadership of the SJP-PSL.</w:t>
      </w:r>
    </w:p>
    <w:p w14:paraId="615D58D8" w14:textId="77777777" w:rsidR="007B56A9" w:rsidRPr="00E44FD1" w:rsidRDefault="007B56A9" w:rsidP="007B56A9">
      <w:pPr>
        <w:spacing w:line="480" w:lineRule="auto"/>
        <w:rPr>
          <w:lang w:val="en-US"/>
        </w:rPr>
      </w:pPr>
      <w:r w:rsidRPr="00E44FD1">
        <w:rPr>
          <w:lang w:val="en-US"/>
        </w:rPr>
        <w:t>While the interpretations and performances nurturing the "experience" of struggle flourished instantly in the US, mainly organized by Social Justice for Palestine (SJP) and its national system linked to People for Socialist Liberation (PSL), developed a well measured, funded and equipped national campaign of detainments triggered by a well-developed performance of "antagonization of police" to reach "radicalization" and "escalation", but clearly, without "direct action". Collective actions, finally, directed to a great defeat which by the puritanism sacrificed political commitments which supposed to clean the faces of ethical individuals mobilized mainly by its "transnational" link to a class struggle in which their performances develop in dislocation from the real power dynamic over which the Palestinian struggle of the US college students have null effects.</w:t>
      </w:r>
    </w:p>
    <w:p w14:paraId="5526340E" w14:textId="1A685E4E" w:rsidR="007B56A9" w:rsidRPr="00E44FD1" w:rsidRDefault="007B56A9" w:rsidP="007B56A9">
      <w:pPr>
        <w:spacing w:line="480" w:lineRule="auto"/>
        <w:rPr>
          <w:lang w:val="en-US"/>
        </w:rPr>
      </w:pPr>
      <w:r w:rsidRPr="00E44FD1">
        <w:rPr>
          <w:lang w:val="en-US"/>
        </w:rPr>
        <w:t>The attribution of effectivity to the performances of encampments which finished with a well coopted labor union completely integrated in the political system. The "experience" created for the college US students nationally promote a "global" image of complete defeat of the Palestinian struggle in the current moment of the Gaza crisis, show</w:t>
      </w:r>
      <w:r>
        <w:rPr>
          <w:lang w:val="en-US"/>
        </w:rPr>
        <w:t>ing</w:t>
      </w:r>
      <w:r w:rsidRPr="00E44FD1">
        <w:rPr>
          <w:lang w:val="en-US"/>
        </w:rPr>
        <w:t xml:space="preserve"> a particular </w:t>
      </w:r>
      <w:r>
        <w:rPr>
          <w:lang w:val="en-US"/>
        </w:rPr>
        <w:t>“</w:t>
      </w:r>
      <w:r w:rsidRPr="00E44FD1">
        <w:rPr>
          <w:lang w:val="en-US"/>
        </w:rPr>
        <w:t>face</w:t>
      </w:r>
      <w:r>
        <w:rPr>
          <w:lang w:val="en-US"/>
        </w:rPr>
        <w:t>”</w:t>
      </w:r>
      <w:r w:rsidRPr="00E44FD1">
        <w:rPr>
          <w:lang w:val="en-US"/>
        </w:rPr>
        <w:t xml:space="preserve"> to the historical resistance of the people of not only Palestine, but for elsewhere around the world. </w:t>
      </w:r>
    </w:p>
    <w:p w14:paraId="35A7D1E8" w14:textId="0078BB0E" w:rsidR="007B56A9" w:rsidRPr="00E44FD1" w:rsidRDefault="007B56A9" w:rsidP="007B56A9">
      <w:pPr>
        <w:spacing w:line="480" w:lineRule="auto"/>
        <w:rPr>
          <w:lang w:val="en-US"/>
        </w:rPr>
      </w:pPr>
      <w:r w:rsidRPr="00E44FD1">
        <w:rPr>
          <w:lang w:val="en-US"/>
        </w:rPr>
        <w:t>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US to develop dislocated from the real outcomes of the political situation which is in question in the Gaza crisis triggered and defended by US imperialism in support of Israel state building genocide.</w:t>
      </w:r>
      <w:r>
        <w:rPr>
          <w:lang w:val="en-US"/>
        </w:rPr>
        <w:t xml:space="preserve"> </w:t>
      </w:r>
      <w:r w:rsidRPr="00E44FD1">
        <w:rPr>
          <w:lang w:val="en-US"/>
        </w:rPr>
        <w:t xml:space="preserve">In that </w:t>
      </w:r>
      <w:r w:rsidRPr="00E44FD1">
        <w:rPr>
          <w:lang w:val="en-US"/>
        </w:rPr>
        <w:lastRenderedPageBreak/>
        <w:t>manner our individualistic souls can be sacrificed "virtually" by being martyrized, imprisoned, treated as the "pigs" treat "Palestinians".</w:t>
      </w:r>
    </w:p>
    <w:p w14:paraId="45DBDA77" w14:textId="32ACA60F" w:rsidR="007B56A9" w:rsidRDefault="007B56A9" w:rsidP="007B56A9">
      <w:pPr>
        <w:spacing w:line="480" w:lineRule="auto"/>
        <w:rPr>
          <w:lang w:val="en-US"/>
        </w:rPr>
      </w:pPr>
      <w:r w:rsidRPr="00E44FD1">
        <w:rPr>
          <w:lang w:val="en-US"/>
        </w:rPr>
        <w:t xml:space="preserve">The absence of self-bombing performances or armed struggle as well as hostages’ situations, performances of struggle developed robustly in the field of contention configured in Gaza against US imperialism, is not a casual result of the perfect form which the oppression of every challenger to the establishment reached by capitalism development.  </w:t>
      </w:r>
    </w:p>
    <w:p w14:paraId="2FE27B26" w14:textId="77777777" w:rsidR="00531EEB" w:rsidRDefault="00531EEB" w:rsidP="00531EEB">
      <w:pPr>
        <w:spacing w:line="480" w:lineRule="auto"/>
        <w:rPr>
          <w:lang w:val="en-US"/>
        </w:rPr>
      </w:pPr>
      <w:r w:rsidRPr="00E44FD1">
        <w:rPr>
          <w:lang w:val="en-US"/>
        </w:rPr>
        <w:t xml:space="preserve">During the current breakdown of the international state system, the crisis in Gaza and the genocide of Palestina has been </w:t>
      </w:r>
      <w:r>
        <w:rPr>
          <w:lang w:val="en-US"/>
        </w:rPr>
        <w:t>framed highly influenced by social media infrastructure (Instagram, Twitter and Signal)</w:t>
      </w:r>
      <w:r w:rsidRPr="00E44FD1">
        <w:rPr>
          <w:lang w:val="en-US"/>
        </w:rPr>
        <w:t xml:space="preserve"> </w:t>
      </w:r>
      <w:r>
        <w:rPr>
          <w:lang w:val="en-US"/>
        </w:rPr>
        <w:t>as a</w:t>
      </w:r>
      <w:r w:rsidRPr="00E44FD1">
        <w:rPr>
          <w:lang w:val="en-US"/>
        </w:rPr>
        <w:t xml:space="preserve"> "transnational" field </w:t>
      </w:r>
      <w:r>
        <w:rPr>
          <w:lang w:val="en-US"/>
        </w:rPr>
        <w:t>of contention, at the point to declare a global student’s movement, or the most powerful student movement in American history in comparison with the Vietnam anti-war movement.</w:t>
      </w:r>
    </w:p>
    <w:p w14:paraId="1119148E" w14:textId="18B00F7D" w:rsidR="002C12D9" w:rsidRDefault="00531EEB" w:rsidP="00531EEB">
      <w:pPr>
        <w:spacing w:line="480" w:lineRule="auto"/>
        <w:rPr>
          <w:lang w:val="en-US"/>
        </w:rPr>
      </w:pPr>
      <w:r>
        <w:rPr>
          <w:lang w:val="en-US"/>
        </w:rPr>
        <w:t xml:space="preserve">If we look at the consequences of the APP, completely descripted by their claims, the effects on the Palestinian genocide is null, the reason why, is not only because of the </w:t>
      </w:r>
      <w:r w:rsidR="002C12D9">
        <w:rPr>
          <w:lang w:val="en-US"/>
        </w:rPr>
        <w:t>“</w:t>
      </w:r>
      <w:r>
        <w:rPr>
          <w:lang w:val="en-US"/>
        </w:rPr>
        <w:t>cease fire</w:t>
      </w:r>
      <w:r w:rsidR="002C12D9">
        <w:rPr>
          <w:lang w:val="en-US"/>
        </w:rPr>
        <w:t>”, “de-invest”</w:t>
      </w:r>
      <w:r>
        <w:rPr>
          <w:lang w:val="en-US"/>
        </w:rPr>
        <w:t xml:space="preserve"> and </w:t>
      </w:r>
      <w:r w:rsidR="002C12D9">
        <w:rPr>
          <w:lang w:val="en-US"/>
        </w:rPr>
        <w:t>“</w:t>
      </w:r>
      <w:r>
        <w:rPr>
          <w:lang w:val="en-US"/>
        </w:rPr>
        <w:t>free academic liberties</w:t>
      </w:r>
      <w:r w:rsidR="002C12D9">
        <w:rPr>
          <w:lang w:val="en-US"/>
        </w:rPr>
        <w:t>” were claims completely out of the frame configured by the Palestinian-Israel conflict historically</w:t>
      </w:r>
      <w:r>
        <w:rPr>
          <w:lang w:val="en-US"/>
        </w:rPr>
        <w:t>, but mainly because of the channeled manner in which the AP</w:t>
      </w:r>
      <w:r w:rsidR="002C12D9">
        <w:rPr>
          <w:lang w:val="en-US"/>
        </w:rPr>
        <w:t>P</w:t>
      </w:r>
      <w:r>
        <w:rPr>
          <w:lang w:val="en-US"/>
        </w:rPr>
        <w:t xml:space="preserve"> selected their targets</w:t>
      </w:r>
      <w:r w:rsidR="002C12D9">
        <w:rPr>
          <w:lang w:val="en-US"/>
        </w:rPr>
        <w:t xml:space="preserve"> moving from targeting the government to a desperate move to reduce its scope to the college students movement field of contention avoiding it direct framing as an anti-government protest. In that manner neither the claims, nor the performances could have any effect on the real situation of Palestinian genocide but provide a “lived experience with a sense of realness”, finally dislocated, unsuccessful, and demoralizing.</w:t>
      </w:r>
    </w:p>
    <w:p w14:paraId="1E9B30FB" w14:textId="5E6B270D" w:rsidR="00531EEB" w:rsidRDefault="002C12D9" w:rsidP="00531EEB">
      <w:pPr>
        <w:spacing w:line="480" w:lineRule="auto"/>
        <w:rPr>
          <w:lang w:val="en-US"/>
        </w:rPr>
      </w:pPr>
      <w:r>
        <w:rPr>
          <w:lang w:val="en-US"/>
        </w:rPr>
        <w:t xml:space="preserve">The </w:t>
      </w:r>
      <w:r w:rsidR="00531EEB">
        <w:rPr>
          <w:lang w:val="en-US"/>
        </w:rPr>
        <w:t xml:space="preserve"> constrain</w:t>
      </w:r>
      <w:r>
        <w:rPr>
          <w:lang w:val="en-US"/>
        </w:rPr>
        <w:t xml:space="preserve"> of the performances and </w:t>
      </w:r>
      <w:r w:rsidR="00531EEB">
        <w:rPr>
          <w:lang w:val="en-US"/>
        </w:rPr>
        <w:t xml:space="preserve">its spatiality while being </w:t>
      </w:r>
      <w:r>
        <w:rPr>
          <w:lang w:val="en-US"/>
        </w:rPr>
        <w:t xml:space="preserve"> declared </w:t>
      </w:r>
      <w:r w:rsidR="00531EEB">
        <w:rPr>
          <w:lang w:val="en-US"/>
        </w:rPr>
        <w:t>“transnational”</w:t>
      </w:r>
      <w:r>
        <w:rPr>
          <w:lang w:val="en-US"/>
        </w:rPr>
        <w:t xml:space="preserve">, </w:t>
      </w:r>
      <w:r w:rsidR="00531EEB">
        <w:rPr>
          <w:lang w:val="en-US"/>
        </w:rPr>
        <w:t>clearly diminish and control effectively the escalation of performances of struggle, holding the actors, the performances, the claims and the target of the AP</w:t>
      </w:r>
      <w:r>
        <w:rPr>
          <w:lang w:val="en-US"/>
        </w:rPr>
        <w:t>P</w:t>
      </w:r>
      <w:r w:rsidR="00531EEB">
        <w:rPr>
          <w:lang w:val="en-US"/>
        </w:rPr>
        <w:t xml:space="preserve"> completely under </w:t>
      </w:r>
      <w:r w:rsidR="00531EEB">
        <w:rPr>
          <w:lang w:val="en-US"/>
        </w:rPr>
        <w:lastRenderedPageBreak/>
        <w:t>cooptation and completely under the policy and institutionalized tradition of mobilization proper of the “special and separate style of existence” of American Colleges in which “certain reality” as the AP</w:t>
      </w:r>
      <w:r>
        <w:rPr>
          <w:lang w:val="en-US"/>
        </w:rPr>
        <w:t>P</w:t>
      </w:r>
      <w:r w:rsidR="00531EEB">
        <w:rPr>
          <w:lang w:val="en-US"/>
        </w:rPr>
        <w:t xml:space="preserve"> is attended, acquiring a “sense of reality” of an emotional lived experience of a “global” juncture.</w:t>
      </w:r>
    </w:p>
    <w:p w14:paraId="4CA556E0" w14:textId="3ADF7D53" w:rsidR="000F28CD" w:rsidRDefault="00531EEB" w:rsidP="00531EEB">
      <w:pPr>
        <w:spacing w:line="480" w:lineRule="auto"/>
        <w:rPr>
          <w:lang w:val="en-US"/>
        </w:rPr>
      </w:pPr>
      <w:r>
        <w:rPr>
          <w:lang w:val="en-US"/>
        </w:rPr>
        <w:t xml:space="preserve">The </w:t>
      </w:r>
      <w:r w:rsidR="002C12D9">
        <w:rPr>
          <w:lang w:val="en-US"/>
        </w:rPr>
        <w:t>way</w:t>
      </w:r>
      <w:r>
        <w:rPr>
          <w:lang w:val="en-US"/>
        </w:rPr>
        <w:t xml:space="preserve"> this experience was structured depend not only </w:t>
      </w:r>
      <w:r w:rsidR="002C12D9">
        <w:rPr>
          <w:lang w:val="en-US"/>
        </w:rPr>
        <w:t>on</w:t>
      </w:r>
      <w:r>
        <w:rPr>
          <w:lang w:val="en-US"/>
        </w:rPr>
        <w:t xml:space="preserve"> the analysis of individua</w:t>
      </w:r>
      <w:r w:rsidR="002C12D9">
        <w:rPr>
          <w:lang w:val="en-US"/>
        </w:rPr>
        <w:t>l</w:t>
      </w:r>
      <w:r>
        <w:rPr>
          <w:lang w:val="en-US"/>
        </w:rPr>
        <w:t xml:space="preserve"> interactions but of contentious interactions by which the scale and the “reality” of the “experience” can be understood also as “dislocated” from the frames of collective action developed in a concrete field of contention.</w:t>
      </w:r>
    </w:p>
    <w:p w14:paraId="1B65AC5E" w14:textId="487F25C9" w:rsidR="00B41113" w:rsidRPr="00B41113" w:rsidRDefault="00D07153" w:rsidP="00531EEB">
      <w:pPr>
        <w:spacing w:line="480" w:lineRule="auto"/>
        <w:rPr>
          <w:b/>
          <w:bCs/>
          <w:lang w:val="en-US"/>
        </w:rPr>
      </w:pPr>
      <w:r>
        <w:rPr>
          <w:b/>
          <w:bCs/>
          <w:lang w:val="en-US"/>
        </w:rPr>
        <w:t>Methodological approach</w:t>
      </w:r>
      <w:r w:rsidR="00B41113">
        <w:rPr>
          <w:b/>
          <w:bCs/>
          <w:lang w:val="en-US"/>
        </w:rPr>
        <w:t xml:space="preserve">: </w:t>
      </w:r>
      <w:r>
        <w:rPr>
          <w:b/>
          <w:bCs/>
          <w:lang w:val="en-US"/>
        </w:rPr>
        <w:t>Analysis of Actor-Performance-Target primary framework structure of the Palestinian-Israel contention</w:t>
      </w:r>
    </w:p>
    <w:p w14:paraId="12C7C31F" w14:textId="14954A44" w:rsidR="00B41113" w:rsidRDefault="00D07153" w:rsidP="00B41113">
      <w:pPr>
        <w:spacing w:line="480" w:lineRule="auto"/>
        <w:rPr>
          <w:lang w:val="en-US"/>
        </w:rPr>
      </w:pPr>
      <w:r w:rsidRPr="00B41113">
        <w:rPr>
          <w:lang w:val="en-US"/>
        </w:rPr>
        <w:t xml:space="preserve">Based on the review of the literature following Johnston and Alimi (2012), show the dislocation of the APP Actor-Performance-Target structure from the Palestine-Israel contention without an effective keying after the deviant act </w:t>
      </w:r>
      <w:r w:rsidR="00B41113" w:rsidRPr="00B41113">
        <w:rPr>
          <w:lang w:val="en-US"/>
        </w:rPr>
        <w:t>of Raisi’s martyrization</w:t>
      </w:r>
      <w:r w:rsidR="00B41113">
        <w:rPr>
          <w:lang w:val="en-US"/>
        </w:rPr>
        <w:t>…</w:t>
      </w:r>
    </w:p>
    <w:p w14:paraId="0D5D5789" w14:textId="43410F68" w:rsidR="00B41113" w:rsidRPr="00B41113" w:rsidRDefault="00B41113" w:rsidP="00B41113">
      <w:pPr>
        <w:spacing w:line="480" w:lineRule="auto"/>
        <w:rPr>
          <w:b/>
          <w:bCs/>
          <w:lang w:val="en-US"/>
        </w:rPr>
      </w:pPr>
      <w:r>
        <w:rPr>
          <w:b/>
          <w:bCs/>
          <w:lang w:val="en-US"/>
        </w:rPr>
        <w:t>Conclusion and prospective research agenda</w:t>
      </w:r>
    </w:p>
    <w:p w14:paraId="0757E1F4" w14:textId="142C6335" w:rsidR="00B41113" w:rsidRDefault="00B41113" w:rsidP="00B41113">
      <w:pPr>
        <w:spacing w:line="480" w:lineRule="auto"/>
        <w:rPr>
          <w:b/>
          <w:bCs/>
          <w:lang w:val="en-US"/>
        </w:rPr>
      </w:pPr>
      <w:r>
        <w:rPr>
          <w:b/>
          <w:bCs/>
          <w:lang w:val="en-US"/>
        </w:rPr>
        <w:t>Cited references</w:t>
      </w:r>
    </w:p>
    <w:p w14:paraId="4EC87E95" w14:textId="07DD2E7D" w:rsidR="00B41113" w:rsidRPr="004D6B27"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proofErr w:type="spellStart"/>
      <w:r w:rsidRPr="00B41113">
        <w:rPr>
          <w:rFonts w:ascii="Times New Roman" w:eastAsia="Times New Roman" w:hAnsi="Times New Roman" w:cs="Times New Roman"/>
          <w:kern w:val="0"/>
          <w:sz w:val="24"/>
          <w:szCs w:val="24"/>
          <w:lang w:val="en-US" w:eastAsia="es-PE"/>
          <w14:ligatures w14:val="none"/>
        </w:rPr>
        <w:t>Franzosi</w:t>
      </w:r>
      <w:proofErr w:type="spellEnd"/>
      <w:r w:rsidRPr="00B41113">
        <w:rPr>
          <w:rFonts w:ascii="Times New Roman" w:eastAsia="Times New Roman" w:hAnsi="Times New Roman" w:cs="Times New Roman"/>
          <w:kern w:val="0"/>
          <w:sz w:val="24"/>
          <w:szCs w:val="24"/>
          <w:lang w:val="en-US" w:eastAsia="es-PE"/>
          <w14:ligatures w14:val="none"/>
        </w:rPr>
        <w:t xml:space="preserve">, Roberto. 2006. “The Return of The Actor. Interaction Networks Among Social Actors During Periods of High Mobilization (Italy, 1919-1922).” </w:t>
      </w:r>
      <w:r w:rsidRPr="004D6B27">
        <w:rPr>
          <w:rFonts w:ascii="Times New Roman" w:eastAsia="Times New Roman" w:hAnsi="Times New Roman" w:cs="Times New Roman"/>
          <w:i/>
          <w:iCs/>
          <w:kern w:val="0"/>
          <w:sz w:val="24"/>
          <w:szCs w:val="24"/>
          <w:lang w:val="en-US" w:eastAsia="es-PE"/>
          <w14:ligatures w14:val="none"/>
        </w:rPr>
        <w:t>Mobilization: An International Quarterly</w:t>
      </w:r>
      <w:r w:rsidRPr="004D6B27">
        <w:rPr>
          <w:rFonts w:ascii="Times New Roman" w:eastAsia="Times New Roman" w:hAnsi="Times New Roman" w:cs="Times New Roman"/>
          <w:kern w:val="0"/>
          <w:sz w:val="24"/>
          <w:szCs w:val="24"/>
          <w:lang w:val="en-US" w:eastAsia="es-PE"/>
          <w14:ligatures w14:val="none"/>
        </w:rPr>
        <w:t xml:space="preserve"> 4 (2): 131–49. </w:t>
      </w:r>
      <w:hyperlink r:id="rId7" w:history="1">
        <w:r w:rsidRPr="004D6B27">
          <w:rPr>
            <w:rFonts w:ascii="Times New Roman" w:eastAsia="Times New Roman" w:hAnsi="Times New Roman" w:cs="Times New Roman"/>
            <w:color w:val="0000FF"/>
            <w:kern w:val="0"/>
            <w:sz w:val="24"/>
            <w:szCs w:val="24"/>
            <w:u w:val="single"/>
            <w:lang w:val="en-US" w:eastAsia="es-PE"/>
            <w14:ligatures w14:val="none"/>
          </w:rPr>
          <w:t>https://doi.org/10.17813/maiq.4.2.480g12700535663l</w:t>
        </w:r>
      </w:hyperlink>
      <w:r w:rsidRPr="004D6B27">
        <w:rPr>
          <w:rFonts w:ascii="Times New Roman" w:eastAsia="Times New Roman" w:hAnsi="Times New Roman" w:cs="Times New Roman"/>
          <w:kern w:val="0"/>
          <w:sz w:val="24"/>
          <w:szCs w:val="24"/>
          <w:lang w:val="en-US" w:eastAsia="es-PE"/>
          <w14:ligatures w14:val="none"/>
        </w:rPr>
        <w:t>.</w:t>
      </w:r>
    </w:p>
    <w:p w14:paraId="126C1A26"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Goffman, Erving. 1967. </w:t>
      </w:r>
      <w:r w:rsidRPr="00B41113">
        <w:rPr>
          <w:rFonts w:ascii="Times New Roman" w:eastAsia="Times New Roman" w:hAnsi="Times New Roman" w:cs="Times New Roman"/>
          <w:i/>
          <w:iCs/>
          <w:kern w:val="0"/>
          <w:sz w:val="24"/>
          <w:szCs w:val="24"/>
          <w:lang w:val="en-US" w:eastAsia="es-PE"/>
          <w14:ligatures w14:val="none"/>
        </w:rPr>
        <w:t>Interaction Ritual: Essays on Face-to-Face Behavior</w:t>
      </w:r>
      <w:r w:rsidRPr="00B41113">
        <w:rPr>
          <w:rFonts w:ascii="Times New Roman" w:eastAsia="Times New Roman" w:hAnsi="Times New Roman" w:cs="Times New Roman"/>
          <w:kern w:val="0"/>
          <w:sz w:val="24"/>
          <w:szCs w:val="24"/>
          <w:lang w:val="en-US" w:eastAsia="es-PE"/>
          <w14:ligatures w14:val="none"/>
        </w:rPr>
        <w:t xml:space="preserve">. [1st ed.]. Anchor </w:t>
      </w:r>
      <w:proofErr w:type="gramStart"/>
      <w:r w:rsidRPr="00B41113">
        <w:rPr>
          <w:rFonts w:ascii="Times New Roman" w:eastAsia="Times New Roman" w:hAnsi="Times New Roman" w:cs="Times New Roman"/>
          <w:kern w:val="0"/>
          <w:sz w:val="24"/>
          <w:szCs w:val="24"/>
          <w:lang w:val="en-US" w:eastAsia="es-PE"/>
          <w14:ligatures w14:val="none"/>
        </w:rPr>
        <w:t>Books</w:t>
      </w:r>
      <w:r w:rsidRPr="00B41113">
        <w:rPr>
          <w:rFonts w:ascii="Arial" w:eastAsia="Times New Roman" w:hAnsi="Arial" w:cs="Arial"/>
          <w:kern w:val="0"/>
          <w:sz w:val="24"/>
          <w:szCs w:val="24"/>
          <w:lang w:val="en-US" w:eastAsia="es-PE"/>
          <w14:ligatures w14:val="none"/>
        </w:rPr>
        <w:t> </w:t>
      </w:r>
      <w:r w:rsidRPr="00B41113">
        <w:rPr>
          <w:rFonts w:ascii="Times New Roman" w:eastAsia="Times New Roman" w:hAnsi="Times New Roman" w:cs="Times New Roman"/>
          <w:kern w:val="0"/>
          <w:sz w:val="24"/>
          <w:szCs w:val="24"/>
          <w:lang w:val="en-US" w:eastAsia="es-PE"/>
          <w14:ligatures w14:val="none"/>
        </w:rPr>
        <w:t>;</w:t>
      </w:r>
      <w:proofErr w:type="gramEnd"/>
      <w:r w:rsidRPr="00B41113">
        <w:rPr>
          <w:rFonts w:ascii="Times New Roman" w:eastAsia="Times New Roman" w:hAnsi="Times New Roman" w:cs="Times New Roman"/>
          <w:kern w:val="0"/>
          <w:sz w:val="24"/>
          <w:szCs w:val="24"/>
          <w:lang w:val="en-US" w:eastAsia="es-PE"/>
          <w14:ligatures w14:val="none"/>
        </w:rPr>
        <w:t xml:space="preserve"> A596. Garden City, N.Y: Doubleday.</w:t>
      </w:r>
    </w:p>
    <w:p w14:paraId="5833D256"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Goffman, Erving. 1976. </w:t>
      </w:r>
      <w:r w:rsidRPr="00B41113">
        <w:rPr>
          <w:rFonts w:ascii="Times New Roman" w:eastAsia="Times New Roman" w:hAnsi="Times New Roman" w:cs="Times New Roman"/>
          <w:i/>
          <w:iCs/>
          <w:kern w:val="0"/>
          <w:sz w:val="24"/>
          <w:szCs w:val="24"/>
          <w:lang w:val="en-US" w:eastAsia="es-PE"/>
          <w14:ligatures w14:val="none"/>
        </w:rPr>
        <w:t>Frame Analysis: An Essay on the Organization of Experience</w:t>
      </w:r>
      <w:r w:rsidRPr="00B41113">
        <w:rPr>
          <w:rFonts w:ascii="Times New Roman" w:eastAsia="Times New Roman" w:hAnsi="Times New Roman" w:cs="Times New Roman"/>
          <w:kern w:val="0"/>
          <w:sz w:val="24"/>
          <w:szCs w:val="24"/>
          <w:lang w:val="en-US" w:eastAsia="es-PE"/>
          <w14:ligatures w14:val="none"/>
        </w:rPr>
        <w:t>. Cambridge, Mass: Harvard University Press.</w:t>
      </w:r>
    </w:p>
    <w:p w14:paraId="5718FF5D"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Johnston, Hank, and Eitan Y. Alimi. 2012. “Primary Frameworks, Keying and the Dynamics of Contentious Politics: The Islamization of the Chechen and Palestinian National Movements.” </w:t>
      </w:r>
      <w:proofErr w:type="spellStart"/>
      <w:r w:rsidRPr="00B41113">
        <w:rPr>
          <w:rFonts w:ascii="Times New Roman" w:eastAsia="Times New Roman" w:hAnsi="Times New Roman" w:cs="Times New Roman"/>
          <w:i/>
          <w:iCs/>
          <w:kern w:val="0"/>
          <w:sz w:val="24"/>
          <w:szCs w:val="24"/>
          <w:lang w:eastAsia="es-PE"/>
          <w14:ligatures w14:val="none"/>
        </w:rPr>
        <w:t>Political</w:t>
      </w:r>
      <w:proofErr w:type="spellEnd"/>
      <w:r w:rsidRPr="00B41113">
        <w:rPr>
          <w:rFonts w:ascii="Times New Roman" w:eastAsia="Times New Roman" w:hAnsi="Times New Roman" w:cs="Times New Roman"/>
          <w:i/>
          <w:iCs/>
          <w:kern w:val="0"/>
          <w:sz w:val="24"/>
          <w:szCs w:val="24"/>
          <w:lang w:eastAsia="es-PE"/>
          <w14:ligatures w14:val="none"/>
        </w:rPr>
        <w:t xml:space="preserve"> </w:t>
      </w:r>
      <w:proofErr w:type="spellStart"/>
      <w:r w:rsidRPr="00B41113">
        <w:rPr>
          <w:rFonts w:ascii="Times New Roman" w:eastAsia="Times New Roman" w:hAnsi="Times New Roman" w:cs="Times New Roman"/>
          <w:i/>
          <w:iCs/>
          <w:kern w:val="0"/>
          <w:sz w:val="24"/>
          <w:szCs w:val="24"/>
          <w:lang w:eastAsia="es-PE"/>
          <w14:ligatures w14:val="none"/>
        </w:rPr>
        <w:t>Studies</w:t>
      </w:r>
      <w:proofErr w:type="spellEnd"/>
      <w:r w:rsidRPr="00B41113">
        <w:rPr>
          <w:rFonts w:ascii="Times New Roman" w:eastAsia="Times New Roman" w:hAnsi="Times New Roman" w:cs="Times New Roman"/>
          <w:kern w:val="0"/>
          <w:sz w:val="24"/>
          <w:szCs w:val="24"/>
          <w:lang w:eastAsia="es-PE"/>
          <w14:ligatures w14:val="none"/>
        </w:rPr>
        <w:t xml:space="preserve"> 60 (3): 603–20. </w:t>
      </w:r>
      <w:hyperlink r:id="rId8" w:history="1">
        <w:r w:rsidRPr="00B41113">
          <w:rPr>
            <w:rFonts w:ascii="Times New Roman" w:eastAsia="Times New Roman" w:hAnsi="Times New Roman" w:cs="Times New Roman"/>
            <w:color w:val="0000FF"/>
            <w:kern w:val="0"/>
            <w:sz w:val="24"/>
            <w:szCs w:val="24"/>
            <w:u w:val="single"/>
            <w:lang w:eastAsia="es-PE"/>
            <w14:ligatures w14:val="none"/>
          </w:rPr>
          <w:t>https://doi.org/10.1111/j.1467-9248.2011.00927.x</w:t>
        </w:r>
      </w:hyperlink>
      <w:r w:rsidRPr="00B41113">
        <w:rPr>
          <w:rFonts w:ascii="Times New Roman" w:eastAsia="Times New Roman" w:hAnsi="Times New Roman" w:cs="Times New Roman"/>
          <w:kern w:val="0"/>
          <w:sz w:val="24"/>
          <w:szCs w:val="24"/>
          <w:lang w:eastAsia="es-PE"/>
          <w14:ligatures w14:val="none"/>
        </w:rPr>
        <w:t>.</w:t>
      </w:r>
    </w:p>
    <w:p w14:paraId="2C5DF50D" w14:textId="77777777" w:rsidR="00D07153" w:rsidRPr="00D07153" w:rsidRDefault="00D07153" w:rsidP="00531EEB">
      <w:pPr>
        <w:spacing w:line="480" w:lineRule="auto"/>
        <w:rPr>
          <w:b/>
          <w:bCs/>
          <w:lang w:val="en-US"/>
        </w:rPr>
      </w:pPr>
    </w:p>
    <w:sectPr w:rsidR="00D07153" w:rsidRPr="00D07153">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C8FE0" w14:textId="77777777" w:rsidR="009F0330" w:rsidRDefault="009F0330" w:rsidP="003A4316">
      <w:pPr>
        <w:spacing w:after="0" w:line="240" w:lineRule="auto"/>
      </w:pPr>
      <w:r>
        <w:separator/>
      </w:r>
    </w:p>
  </w:endnote>
  <w:endnote w:type="continuationSeparator" w:id="0">
    <w:p w14:paraId="2E250610" w14:textId="77777777" w:rsidR="009F0330" w:rsidRDefault="009F0330"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5D9E6" w14:textId="77777777" w:rsidR="009F0330" w:rsidRDefault="009F0330" w:rsidP="003A4316">
      <w:pPr>
        <w:spacing w:after="0" w:line="240" w:lineRule="auto"/>
      </w:pPr>
      <w:r>
        <w:separator/>
      </w:r>
    </w:p>
  </w:footnote>
  <w:footnote w:type="continuationSeparator" w:id="0">
    <w:p w14:paraId="169850A2" w14:textId="77777777" w:rsidR="009F0330" w:rsidRDefault="009F0330" w:rsidP="003A4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Pr="003A4316" w:rsidRDefault="003A4316">
    <w:pPr>
      <w:pStyle w:val="Encabezado"/>
      <w:rPr>
        <w:lang w:val="en-US"/>
      </w:rPr>
    </w:pPr>
    <w:r w:rsidRPr="003A4316">
      <w:rPr>
        <w:lang w:val="en-US"/>
      </w:rPr>
      <w:t>Jason Turowetz</w:t>
    </w:r>
    <w:r>
      <w:rPr>
        <w:lang w:val="en-US"/>
      </w:rPr>
      <w:tab/>
    </w:r>
    <w:r>
      <w:rPr>
        <w:lang w:val="en-US"/>
      </w:rPr>
      <w:tab/>
      <w:t>José Manuel Mejía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0F28CD"/>
    <w:rsid w:val="0014351F"/>
    <w:rsid w:val="001A0A6D"/>
    <w:rsid w:val="00211102"/>
    <w:rsid w:val="002B2F3B"/>
    <w:rsid w:val="002B4064"/>
    <w:rsid w:val="002C12D9"/>
    <w:rsid w:val="002E50F4"/>
    <w:rsid w:val="00360FA5"/>
    <w:rsid w:val="003A4316"/>
    <w:rsid w:val="00413265"/>
    <w:rsid w:val="004D6B27"/>
    <w:rsid w:val="00525263"/>
    <w:rsid w:val="00531EEB"/>
    <w:rsid w:val="005B7117"/>
    <w:rsid w:val="006A14E1"/>
    <w:rsid w:val="00733911"/>
    <w:rsid w:val="007B56A9"/>
    <w:rsid w:val="00815D3C"/>
    <w:rsid w:val="008356CC"/>
    <w:rsid w:val="009F0330"/>
    <w:rsid w:val="00A45610"/>
    <w:rsid w:val="00A46C41"/>
    <w:rsid w:val="00A7258F"/>
    <w:rsid w:val="00B22E1F"/>
    <w:rsid w:val="00B41113"/>
    <w:rsid w:val="00B47288"/>
    <w:rsid w:val="00B82A51"/>
    <w:rsid w:val="00C26626"/>
    <w:rsid w:val="00C5777F"/>
    <w:rsid w:val="00CB3FB8"/>
    <w:rsid w:val="00CE1A7F"/>
    <w:rsid w:val="00CF7F2C"/>
    <w:rsid w:val="00D034C6"/>
    <w:rsid w:val="00D03E7D"/>
    <w:rsid w:val="00D07153"/>
    <w:rsid w:val="00D143D6"/>
    <w:rsid w:val="00E44FD1"/>
    <w:rsid w:val="00EB5585"/>
    <w:rsid w:val="00ED0899"/>
    <w:rsid w:val="00F52769"/>
    <w:rsid w:val="00F66682"/>
    <w:rsid w:val="00F77B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chartTrackingRefBased/>
  <w15:docId w15:val="{D0F6095E-608C-4354-B7D4-F39E773B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semiHidden/>
    <w:unhideWhenUsed/>
    <w:rsid w:val="00B411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467-9248.2011.00927.x" TargetMode="External"/><Relationship Id="rId3" Type="http://schemas.openxmlformats.org/officeDocument/2006/relationships/settings" Target="settings.xml"/><Relationship Id="rId7" Type="http://schemas.openxmlformats.org/officeDocument/2006/relationships/hyperlink" Target="https://doi.org/10.17813/maiq.4.2.480g12700535663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2628</Words>
  <Characters>14458</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3</cp:revision>
  <dcterms:created xsi:type="dcterms:W3CDTF">2024-06-11T16:07:00Z</dcterms:created>
  <dcterms:modified xsi:type="dcterms:W3CDTF">2024-06-11T17:27:00Z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id="GQssPrmq"/&gt;&lt;style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