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6F7F9D" w14:textId="2151A883" w:rsidR="005004CA" w:rsidRPr="00146F7F" w:rsidRDefault="00000000">
      <w:pPr>
        <w:pStyle w:val="FirstParagraph"/>
        <w:rPr>
          <w:lang w:val="es-PE"/>
        </w:rPr>
      </w:pPr>
      <w:r w:rsidRPr="00146F7F">
        <w:rPr>
          <w:lang w:val="es-PE"/>
        </w:rPr>
        <w:t xml:space="preserve">Los movimientos sociales se definen como interacciones colectivas que buscan cambios en la estructura social o en la distribución de recursos y recompensas dentro de una sociedad. Estos movimientos son el resultado de la superación de problemas de acción colectiva, </w:t>
      </w:r>
      <w:r w:rsidR="00146F7F">
        <w:rPr>
          <w:lang w:val="es-PE"/>
        </w:rPr>
        <w:t>durante eventos en los que</w:t>
      </w:r>
      <w:r w:rsidRPr="00146F7F">
        <w:rPr>
          <w:lang w:val="es-PE"/>
        </w:rPr>
        <w:t xml:space="preserve"> los </w:t>
      </w:r>
      <w:r w:rsidR="00146F7F">
        <w:rPr>
          <w:lang w:val="es-PE"/>
        </w:rPr>
        <w:t>desafiadores</w:t>
      </w:r>
      <w:r w:rsidRPr="00146F7F">
        <w:rPr>
          <w:lang w:val="es-PE"/>
        </w:rPr>
        <w:t xml:space="preserve"> logran construir identidades colectivas que les permiten coordinar sus acciones y sostener </w:t>
      </w:r>
      <w:r w:rsidR="00146F7F">
        <w:rPr>
          <w:lang w:val="es-PE"/>
        </w:rPr>
        <w:t xml:space="preserve">en el tiempo </w:t>
      </w:r>
      <w:r w:rsidRPr="00146F7F">
        <w:rPr>
          <w:lang w:val="es-PE"/>
        </w:rPr>
        <w:t xml:space="preserve">reivindicaciones comunes frente a sus oponentes. La identidad colectiva es </w:t>
      </w:r>
      <w:r w:rsidR="00146F7F">
        <w:rPr>
          <w:lang w:val="es-PE"/>
        </w:rPr>
        <w:t>definitiva</w:t>
      </w:r>
      <w:r w:rsidRPr="00146F7F">
        <w:rPr>
          <w:lang w:val="es-PE"/>
        </w:rPr>
        <w:t xml:space="preserve">, ya que facilita la cohesión entre los participantes y permite el aprendizaje colectivo, la formación de nuevos </w:t>
      </w:r>
      <w:r w:rsidR="00146F7F">
        <w:rPr>
          <w:lang w:val="es-PE"/>
        </w:rPr>
        <w:t xml:space="preserve">actores, así como innovar en las formas de lucha </w:t>
      </w:r>
      <w:r w:rsidRPr="00146F7F">
        <w:rPr>
          <w:lang w:val="es-PE"/>
        </w:rPr>
        <w:t>y la creación de espacios de coordinación entre los desafiadores</w:t>
      </w:r>
      <w:r w:rsidR="00C05167">
        <w:rPr>
          <w:rStyle w:val="FootnoteReference"/>
          <w:lang w:val="es-PE"/>
        </w:rPr>
        <w:footnoteReference w:id="1"/>
      </w:r>
      <w:r w:rsidR="00146F7F">
        <w:rPr>
          <w:lang w:val="es-PE"/>
        </w:rPr>
        <w:t>.</w:t>
      </w:r>
    </w:p>
    <w:p w14:paraId="4F7F586A" w14:textId="0FEFB88D" w:rsidR="005004CA" w:rsidRPr="00A71A4D" w:rsidRDefault="00000000">
      <w:pPr>
        <w:pStyle w:val="BodyText"/>
        <w:rPr>
          <w:lang w:val="es-PE"/>
        </w:rPr>
      </w:pPr>
      <w:r w:rsidRPr="00146F7F">
        <w:rPr>
          <w:lang w:val="es-PE"/>
        </w:rPr>
        <w:t xml:space="preserve">La movilización se refiere al proceso mediante el cual grupos y poblaciones se organizan para ejercer reivindicaciones, presentar demandas o representar intereses colectivos. Este proceso implica la activación de recursos y la constitución de actores políticos que, a pesar de carecer de acceso rutinario a los recursos del gobierno, logran </w:t>
      </w:r>
      <w:r w:rsidR="00A71A4D">
        <w:rPr>
          <w:lang w:val="es-PE"/>
        </w:rPr>
        <w:t>desafiar los alineamientos y la distribución de dichos recursos entre los miembros d</w:t>
      </w:r>
      <w:r w:rsidRPr="00146F7F">
        <w:rPr>
          <w:lang w:val="es-PE"/>
        </w:rPr>
        <w:t>el sistema político al insertar sus demandas</w:t>
      </w:r>
      <w:r w:rsidR="00A71A4D">
        <w:rPr>
          <w:lang w:val="es-PE"/>
        </w:rPr>
        <w:t xml:space="preserve"> frente al estado</w:t>
      </w:r>
      <w:r w:rsidR="00C05167">
        <w:rPr>
          <w:lang w:val="es-PE"/>
        </w:rPr>
        <w:t xml:space="preserve">. </w:t>
      </w:r>
      <w:r w:rsidRPr="00146F7F">
        <w:rPr>
          <w:lang w:val="es-PE"/>
        </w:rPr>
        <w:t xml:space="preserve">La movilización es un </w:t>
      </w:r>
      <w:r w:rsidR="00A71A4D">
        <w:rPr>
          <w:lang w:val="es-PE"/>
        </w:rPr>
        <w:t>suceso</w:t>
      </w:r>
      <w:r w:rsidRPr="00146F7F">
        <w:rPr>
          <w:lang w:val="es-PE"/>
        </w:rPr>
        <w:t xml:space="preserve"> crítico en </w:t>
      </w:r>
      <w:r w:rsidR="00A71A4D">
        <w:rPr>
          <w:lang w:val="es-PE"/>
        </w:rPr>
        <w:t>que se supera el problema de</w:t>
      </w:r>
      <w:r w:rsidRPr="00146F7F">
        <w:rPr>
          <w:lang w:val="es-PE"/>
        </w:rPr>
        <w:t xml:space="preserve"> acción colectiva, ya que permite a los desafiadores </w:t>
      </w:r>
      <w:r w:rsidR="00C05167">
        <w:rPr>
          <w:lang w:val="es-PE"/>
        </w:rPr>
        <w:t xml:space="preserve">agregar </w:t>
      </w:r>
      <w:r w:rsidRPr="00146F7F">
        <w:rPr>
          <w:lang w:val="es-PE"/>
        </w:rPr>
        <w:t>sus intereses y desplegar estrategias que pueden influir en la toma de decisiones políticas</w:t>
      </w:r>
      <w:r w:rsidR="00C05167">
        <w:rPr>
          <w:rStyle w:val="FootnoteReference"/>
          <w:lang w:val="es-PE"/>
        </w:rPr>
        <w:footnoteReference w:id="2"/>
      </w:r>
      <w:r w:rsidR="00C05167">
        <w:rPr>
          <w:lang w:val="es-PE"/>
        </w:rPr>
        <w:t>.</w:t>
      </w:r>
      <w:r w:rsidR="00A71A4D" w:rsidRPr="00A71A4D">
        <w:rPr>
          <w:lang w:val="es-PE"/>
        </w:rPr>
        <w:t xml:space="preserve"> </w:t>
      </w:r>
    </w:p>
    <w:p w14:paraId="636FC50E" w14:textId="323A6671" w:rsidR="005004CA" w:rsidRPr="00146F7F" w:rsidRDefault="00000000">
      <w:pPr>
        <w:pStyle w:val="BodyText"/>
        <w:rPr>
          <w:lang w:val="es-PE"/>
        </w:rPr>
      </w:pPr>
      <w:r w:rsidRPr="00146F7F">
        <w:rPr>
          <w:lang w:val="es-PE"/>
        </w:rPr>
        <w:t xml:space="preserve">Los movimientos sociales son fenómenos complejos que surgen como respuesta a la insatisfacción colectiva frente a condiciones sociales, políticas o económicas. Se caracterizan por la búsqueda de cambios significativos en la estructura social y en la distribución de recursos. La construcción de identidades colectivas es esencial para la cohesión de los participantes, ya que permite la articulación de intereses comunes y la creación de un sentido de pertenencia. Esta identidad colectiva se forma a través de la interacción y la solidaridad entre los miembros del movimiento, lo que facilita el aprendizaje colectivo y la formación de nuevos </w:t>
      </w:r>
      <w:r w:rsidR="00C05167" w:rsidRPr="00146F7F">
        <w:rPr>
          <w:lang w:val="es-PE"/>
        </w:rPr>
        <w:t>l</w:t>
      </w:r>
      <w:r w:rsidR="00C05167">
        <w:rPr>
          <w:lang w:val="es-PE"/>
        </w:rPr>
        <w:t>iderazgos</w:t>
      </w:r>
      <w:r w:rsidR="00843B1A">
        <w:rPr>
          <w:lang w:val="es-PE"/>
        </w:rPr>
        <w:t>.</w:t>
      </w:r>
      <w:r w:rsidR="00C05167">
        <w:rPr>
          <w:lang w:val="es-PE"/>
        </w:rPr>
        <w:t xml:space="preserve"> </w:t>
      </w:r>
      <w:r w:rsidR="00843B1A">
        <w:rPr>
          <w:lang w:val="es-PE"/>
        </w:rPr>
        <w:t>L</w:t>
      </w:r>
      <w:r w:rsidR="00C05167">
        <w:rPr>
          <w:lang w:val="es-PE"/>
        </w:rPr>
        <w:t xml:space="preserve">lamados a cumplir una </w:t>
      </w:r>
      <w:r w:rsidR="00C05167">
        <w:rPr>
          <w:lang w:val="es-PE"/>
        </w:rPr>
        <w:lastRenderedPageBreak/>
        <w:t>función política en estos momentos en que la formación social movilizada exige cierta representación</w:t>
      </w:r>
      <w:r w:rsidR="00843B1A">
        <w:rPr>
          <w:lang w:val="es-PE"/>
        </w:rPr>
        <w:t xml:space="preserve"> </w:t>
      </w:r>
      <w:r w:rsidR="00843B1A">
        <w:rPr>
          <w:rStyle w:val="FootnoteReference"/>
          <w:lang w:val="es-PE"/>
        </w:rPr>
        <w:footnoteReference w:id="3"/>
      </w:r>
    </w:p>
    <w:p w14:paraId="51E78F2A" w14:textId="470A22E6" w:rsidR="005004CA" w:rsidRDefault="00000000">
      <w:pPr>
        <w:pStyle w:val="BodyText"/>
        <w:rPr>
          <w:lang w:val="es-PE"/>
        </w:rPr>
      </w:pPr>
      <w:r w:rsidRPr="00146F7F">
        <w:rPr>
          <w:lang w:val="es-PE"/>
        </w:rPr>
        <w:t>Los movimientos sociales no son homogéneos; pueden incluir una variedad de actores, desde grupos informales hasta organizaciones más estructuradas. La diversidad de intereses y estrategias dentro de un movimiento puede ser tanto una fortaleza como una debilidad. Por un lado, la pluralidad puede enriquecer el movimiento al incorporar diferentes perspectivas; por otro, puede llevar a la fragmentación y a la dificultad para coordinar acciones efectivas.</w:t>
      </w:r>
    </w:p>
    <w:p w14:paraId="1DBCCBBB" w14:textId="206937DE" w:rsidR="00DA5D81" w:rsidRPr="00DA5D81" w:rsidRDefault="00DA5D81" w:rsidP="00DA5D81">
      <w:pPr>
        <w:pStyle w:val="BodyText"/>
        <w:rPr>
          <w:lang w:val="es-PE"/>
        </w:rPr>
      </w:pPr>
      <w:r>
        <w:rPr>
          <w:lang w:val="es-PE"/>
        </w:rPr>
        <w:t xml:space="preserve">La </w:t>
      </w:r>
      <w:r w:rsidRPr="00146F7F">
        <w:rPr>
          <w:lang w:val="es-PE"/>
        </w:rPr>
        <w:t>fragmentación d</w:t>
      </w:r>
      <w:r>
        <w:rPr>
          <w:lang w:val="es-PE"/>
        </w:rPr>
        <w:t>el conflicto o lucha política</w:t>
      </w:r>
      <w:r w:rsidRPr="00146F7F">
        <w:rPr>
          <w:lang w:val="es-PE"/>
        </w:rPr>
        <w:t xml:space="preserve"> se refiere a la incapacidad de los actores contenciosos para coordinar sus acciones en torno a reivindicaciones comunes. Esta fragmentación puede ser un obstáculo significativo para la formación de movimientos sociales, ya que dificulta la construcción de identidades colectivas y la consolidación de una agenda común. La fragmentación se manifiesta en la diversidad de reivindicaciones y en la falta de coaliciones efectivas entre los desafiadores, lo que puede llevar a una acción </w:t>
      </w:r>
      <w:r>
        <w:rPr>
          <w:lang w:val="es-PE"/>
        </w:rPr>
        <w:t>colectiva</w:t>
      </w:r>
      <w:r w:rsidRPr="00146F7F">
        <w:rPr>
          <w:lang w:val="es-PE"/>
        </w:rPr>
        <w:t xml:space="preserve"> atomizada y menos efectiva</w:t>
      </w:r>
      <w:r>
        <w:rPr>
          <w:rStyle w:val="FootnoteReference"/>
          <w:lang w:val="es-PE"/>
        </w:rPr>
        <w:footnoteReference w:id="4"/>
      </w:r>
      <w:r>
        <w:rPr>
          <w:lang w:val="es-PE"/>
        </w:rPr>
        <w:t>.</w:t>
      </w:r>
      <w:hyperlink r:id="rId7"/>
    </w:p>
    <w:p w14:paraId="3D16268E" w14:textId="750324F4" w:rsidR="005004CA" w:rsidRPr="00146F7F" w:rsidRDefault="00000000">
      <w:pPr>
        <w:pStyle w:val="BodyText"/>
        <w:rPr>
          <w:lang w:val="es-PE"/>
        </w:rPr>
      </w:pPr>
      <w:r w:rsidRPr="00146F7F">
        <w:rPr>
          <w:lang w:val="es-PE"/>
        </w:rPr>
        <w:t xml:space="preserve">La movilización es el proceso mediante el cual los actores sociales se organizan para llevar a cabo acciones colectivas. Este proceso implica la </w:t>
      </w:r>
      <w:r w:rsidR="00DA5D81">
        <w:rPr>
          <w:lang w:val="es-PE"/>
        </w:rPr>
        <w:t xml:space="preserve">movilización </w:t>
      </w:r>
      <w:r w:rsidRPr="00146F7F">
        <w:rPr>
          <w:lang w:val="es-PE"/>
        </w:rPr>
        <w:t xml:space="preserve">de recursos, la formación de coaliciones y la articulación de demandas. La movilización es </w:t>
      </w:r>
      <w:r w:rsidR="00DA5D81">
        <w:rPr>
          <w:lang w:val="es-PE"/>
        </w:rPr>
        <w:t>el motor del movimiento, lo mantiene encendido en el tiempo, funcionando en eventos de</w:t>
      </w:r>
      <w:r w:rsidRPr="00146F7F">
        <w:rPr>
          <w:lang w:val="es-PE"/>
        </w:rPr>
        <w:t xml:space="preserve"> protesta política</w:t>
      </w:r>
      <w:r w:rsidR="00DA5D81">
        <w:rPr>
          <w:lang w:val="es-PE"/>
        </w:rPr>
        <w:t>. Entre los que media su producción, en el trabajo de las organizaciones del</w:t>
      </w:r>
      <w:r w:rsidRPr="00146F7F">
        <w:rPr>
          <w:lang w:val="es-PE"/>
        </w:rPr>
        <w:t xml:space="preserve"> movimiento social </w:t>
      </w:r>
      <w:r w:rsidR="00DA5D81">
        <w:rPr>
          <w:lang w:val="es-PE"/>
        </w:rPr>
        <w:t>que se crea con la lucha política.</w:t>
      </w:r>
      <w:r w:rsidRPr="00146F7F">
        <w:rPr>
          <w:lang w:val="es-PE"/>
        </w:rPr>
        <w:t xml:space="preserve"> </w:t>
      </w:r>
      <w:r w:rsidR="00DA5D81">
        <w:rPr>
          <w:lang w:val="es-PE"/>
        </w:rPr>
        <w:t>La</w:t>
      </w:r>
      <w:r w:rsidRPr="00146F7F">
        <w:rPr>
          <w:lang w:val="es-PE"/>
        </w:rPr>
        <w:t xml:space="preserve"> efectividad de la movilización depende de la capacidad de los actores para superar los problemas </w:t>
      </w:r>
      <w:r w:rsidR="00DA5D81">
        <w:rPr>
          <w:lang w:val="es-PE"/>
        </w:rPr>
        <w:t>que enfrenta el movimiento para movilizar los recursos que ponen a</w:t>
      </w:r>
      <w:r w:rsidR="00990AB5">
        <w:rPr>
          <w:lang w:val="es-PE"/>
        </w:rPr>
        <w:t>l frente las organizaciones y masas que lo configuran.</w:t>
      </w:r>
    </w:p>
    <w:p w14:paraId="00EDF8BB" w14:textId="7013EE3D" w:rsidR="00975D07" w:rsidRDefault="00990AB5">
      <w:pPr>
        <w:pStyle w:val="BodyText"/>
        <w:rPr>
          <w:lang w:val="es-PE"/>
        </w:rPr>
      </w:pPr>
      <w:r>
        <w:rPr>
          <w:lang w:val="es-PE"/>
        </w:rPr>
        <w:t xml:space="preserve">Con el proceso de movilización, </w:t>
      </w:r>
      <w:r w:rsidR="00000000" w:rsidRPr="00146F7F">
        <w:rPr>
          <w:lang w:val="es-PE"/>
        </w:rPr>
        <w:t>los desafiadores</w:t>
      </w:r>
      <w:r>
        <w:rPr>
          <w:lang w:val="es-PE"/>
        </w:rPr>
        <w:t xml:space="preserve"> que </w:t>
      </w:r>
      <w:r w:rsidR="00000000" w:rsidRPr="00146F7F">
        <w:rPr>
          <w:lang w:val="es-PE"/>
        </w:rPr>
        <w:t>carece</w:t>
      </w:r>
      <w:r>
        <w:rPr>
          <w:lang w:val="es-PE"/>
        </w:rPr>
        <w:t>n</w:t>
      </w:r>
      <w:r w:rsidR="00000000" w:rsidRPr="00146F7F">
        <w:rPr>
          <w:lang w:val="es-PE"/>
        </w:rPr>
        <w:t xml:space="preserve"> de acceso rutinario a los recursos </w:t>
      </w:r>
      <w:r w:rsidR="00975D07">
        <w:rPr>
          <w:lang w:val="es-PE"/>
        </w:rPr>
        <w:t>centralizados</w:t>
      </w:r>
      <w:r w:rsidR="00DE7C6E">
        <w:rPr>
          <w:lang w:val="es-PE"/>
        </w:rPr>
        <w:t xml:space="preserve"> lo exigen mediante la lucha política común frente a la </w:t>
      </w:r>
      <w:r>
        <w:rPr>
          <w:lang w:val="es-PE"/>
        </w:rPr>
        <w:t xml:space="preserve">formación burocrática sobre la que rige directamente el imperialismo compartido </w:t>
      </w:r>
      <w:r>
        <w:rPr>
          <w:lang w:val="es-PE"/>
        </w:rPr>
        <w:lastRenderedPageBreak/>
        <w:t>como actualmente en América Latina, o en los estados en que se ubican los carteles de capitalistas estatales</w:t>
      </w:r>
      <w:r w:rsidR="00DE7C6E">
        <w:rPr>
          <w:lang w:val="es-PE"/>
        </w:rPr>
        <w:t xml:space="preserve"> en expansión imperialista</w:t>
      </w:r>
      <w:r w:rsidR="00DE7C6E">
        <w:rPr>
          <w:rStyle w:val="FootnoteReference"/>
          <w:lang w:val="es-PE"/>
        </w:rPr>
        <w:footnoteReference w:id="5"/>
      </w:r>
      <w:r w:rsidR="00DE7C6E">
        <w:rPr>
          <w:lang w:val="es-PE"/>
        </w:rPr>
        <w:t>.</w:t>
      </w:r>
      <w:r w:rsidR="00975D07">
        <w:rPr>
          <w:lang w:val="es-PE"/>
        </w:rPr>
        <w:t xml:space="preserve"> Así se logra satisfacer las reivindicaciones populares y </w:t>
      </w:r>
      <w:r w:rsidR="00000000" w:rsidRPr="00146F7F">
        <w:rPr>
          <w:lang w:val="es-PE"/>
        </w:rPr>
        <w:t xml:space="preserve">desafiar el centro del sistema político con sus demandas. Este proceso no solo implica la organización de recursos, sino también la construcción de una </w:t>
      </w:r>
      <w:r>
        <w:rPr>
          <w:lang w:val="es-PE"/>
        </w:rPr>
        <w:t>historia</w:t>
      </w:r>
      <w:r w:rsidR="00000000" w:rsidRPr="00146F7F">
        <w:rPr>
          <w:lang w:val="es-PE"/>
        </w:rPr>
        <w:t xml:space="preserve"> que </w:t>
      </w:r>
      <w:r>
        <w:rPr>
          <w:lang w:val="es-PE"/>
        </w:rPr>
        <w:t>contesta el discurso estatal</w:t>
      </w:r>
      <w:r w:rsidR="00000000" w:rsidRPr="00146F7F">
        <w:rPr>
          <w:lang w:val="es-PE"/>
        </w:rPr>
        <w:t xml:space="preserve"> y atrae a nuevos participantes</w:t>
      </w:r>
      <w:r w:rsidR="00975D07">
        <w:rPr>
          <w:lang w:val="es-PE"/>
        </w:rPr>
        <w:t>.</w:t>
      </w:r>
    </w:p>
    <w:p w14:paraId="4AE9118F" w14:textId="301DC3D1" w:rsidR="005004CA" w:rsidRPr="00146F7F" w:rsidRDefault="00000000">
      <w:pPr>
        <w:pStyle w:val="BodyText"/>
        <w:rPr>
          <w:lang w:val="es-PE"/>
        </w:rPr>
      </w:pPr>
      <w:r w:rsidRPr="00146F7F">
        <w:rPr>
          <w:lang w:val="es-PE"/>
        </w:rPr>
        <w:t>Conclusión</w:t>
      </w:r>
    </w:p>
    <w:p w14:paraId="6A537563" w14:textId="2B859823" w:rsidR="005004CA" w:rsidRPr="00975D07" w:rsidRDefault="00000000">
      <w:pPr>
        <w:pStyle w:val="BodyText"/>
        <w:rPr>
          <w:lang w:val="es-PE"/>
        </w:rPr>
      </w:pPr>
      <w:r w:rsidRPr="00146F7F">
        <w:rPr>
          <w:lang w:val="es-PE"/>
        </w:rPr>
        <w:t>En resumen, los movimientos sociales y la movilización son conceptos interrelacionados que juegan un papel crucial en la dinámica de la acción colectiva. La capacidad de los actores para construir identidades colectivas y coordinar sus acciones es fundamental para el éxito de los movimientos sociales. La fragmentación de la contienda política, por otro lado, representa un desafío significativo que puede limitar la efectividad de la movilización y la capacidad de los movimientos para lograr cambios significativos en la sociedad. La comprensión de estos conceptos es esencial para analizar la política contemporánea y las luchas sociales en diversos contextos</w:t>
      </w:r>
      <w:r w:rsidR="00975D07" w:rsidRPr="00975D07">
        <w:rPr>
          <w:lang w:val="es-PE"/>
        </w:rPr>
        <w:t>.</w:t>
      </w:r>
    </w:p>
    <w:p w14:paraId="5C262136" w14:textId="3DD4FBCB" w:rsidR="00975D07" w:rsidRDefault="00000000">
      <w:pPr>
        <w:pStyle w:val="BodyText"/>
        <w:rPr>
          <w:lang w:val="es-PE"/>
        </w:rPr>
      </w:pPr>
      <w:r w:rsidRPr="00146F7F">
        <w:rPr>
          <w:lang w:val="es-PE"/>
        </w:rPr>
        <w:t>En resumen, los movimientos sociales son el resultado de la movilización efectiva de actores que, a través de la construcción de identidades colectivas y la coordinación de acciones, buscan transformar la realidad social y política. La movilización, por su parte, es el mecanismo que permite a estos actores organizarse y actuar en conjunto para lograr sus objetivos.</w:t>
      </w:r>
    </w:p>
    <w:p w14:paraId="7550C846" w14:textId="77777777" w:rsidR="00975D07" w:rsidRDefault="00975D07">
      <w:pPr>
        <w:pStyle w:val="BodyText"/>
        <w:rPr>
          <w:lang w:val="es-PE"/>
        </w:rPr>
      </w:pPr>
    </w:p>
    <w:p w14:paraId="6411CF0C" w14:textId="77777777" w:rsidR="00975D07" w:rsidRPr="00146F7F" w:rsidRDefault="00975D07">
      <w:pPr>
        <w:pStyle w:val="BodyText"/>
        <w:rPr>
          <w:lang w:val="es-PE"/>
        </w:rPr>
      </w:pPr>
    </w:p>
    <w:sectPr w:rsidR="00975D07" w:rsidRPr="00146F7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0B5F5" w14:textId="77777777" w:rsidR="00094024" w:rsidRDefault="00094024">
      <w:pPr>
        <w:spacing w:after="0"/>
      </w:pPr>
      <w:r>
        <w:separator/>
      </w:r>
    </w:p>
  </w:endnote>
  <w:endnote w:type="continuationSeparator" w:id="0">
    <w:p w14:paraId="231F1248" w14:textId="77777777" w:rsidR="00094024" w:rsidRDefault="000940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96221" w14:textId="77777777" w:rsidR="00094024" w:rsidRDefault="00094024">
      <w:r>
        <w:separator/>
      </w:r>
    </w:p>
  </w:footnote>
  <w:footnote w:type="continuationSeparator" w:id="0">
    <w:p w14:paraId="3EDE4AD9" w14:textId="77777777" w:rsidR="00094024" w:rsidRDefault="00094024">
      <w:r>
        <w:continuationSeparator/>
      </w:r>
    </w:p>
  </w:footnote>
  <w:footnote w:id="1">
    <w:p w14:paraId="6AC40D32" w14:textId="33E9B78C" w:rsidR="00C05167" w:rsidRPr="00C05167" w:rsidRDefault="00C05167">
      <w:pPr>
        <w:pStyle w:val="FootnoteText"/>
        <w:rPr>
          <w:lang w:val="es-PE"/>
        </w:rPr>
      </w:pPr>
      <w:r>
        <w:rPr>
          <w:rStyle w:val="FootnoteReference"/>
        </w:rPr>
        <w:footnoteRef/>
      </w:r>
      <w:r>
        <w:t xml:space="preserve"> </w:t>
      </w:r>
      <w:r>
        <w:fldChar w:fldCharType="begin"/>
      </w:r>
      <w:r>
        <w:instrText xml:space="preserve"> ADDIN ZOTERO_ITEM CSL_CITATION {"citationID":"db1m9azb","properties":{"formattedCitation":"Mario Diani, \\uc0\\u171{}Revisando el concepto de movimiento social\\uc0\\u187{}, {\\i{}Encrucijadas. Revista Cr\\uc0\\u237{}tica de Ciencias Sociales} 9 (2015): r0902; Jos\\uc0\\u233{} Manuel Mej\\uc0\\u237{}a y Renzo Aurazo, \\uc0\\u171{}Repensando la fragmentaci\\uc0\\u243{}n de la contienda pol\\uc0\\u237{}tica transgresiva en el Per\\uc0\\u250{} post-transici\\uc0\\u243{}n, 2001-2003\\uc0\\u187{}, {\\i{}Encrucijadas. Revista Cr\\uc0\\u237{}tica de Ciencias Sociales} 9 (2015), https://recyt.fecyt.es/index.php/encrucijadas/article/view/79029; Doug McAdam, John D. McCarthy, y Mayer N. Zald, eds., {\\i{}Movimientos sociales: perspectivas comparadas. Oportunidades pol\\uc0\\u237{}ticas, estructuras de movilizaci\\uc0\\u243{}n y marcos interpretativos culturales} (Madrid: Akal, 1999); Doug McAdam, Sidney Tarrow, y Charles Tilly, {\\i{}Dynamics of Contention} (Cambridge: Cambridge University Press, 2001).","plainCitation":"Mario Diani, «Revisando el concepto de movimiento social», Encrucijadas. Revista Crítica de Ciencias Sociales 9 (2015): r0902; José Manuel Mejía y Renzo Aurazo, «Repensando la fragmentación de la contienda política transgresiva en el Perú post-transición, 2001-2003», Encrucijadas. Revista Crítica de Ciencias Sociales 9 (2015), https://recyt.fecyt.es/index.php/encrucijadas/article/view/79029; Doug McAdam, John D. McCarthy, y Mayer N. Zald, eds., Movimientos sociales: perspectivas comparadas. Oportunidades políticas, estructuras de movilización y marcos interpretativos culturales (Madrid: Akal, 1999); Doug McAdam, Sidney Tarrow, y Charles Tilly, Dynamics of Contention (Cambridge: Cambridge University Press, 2001).","noteIndex":1},"citationItems":[{"id":4749,"uris":["http://zotero.org/users/4081719/items/TXF7FNW8"],"itemData":{"id":4749,"type":"article-journal","container-title":"Encrucijadas. Revista Crítica de Ciencias Sociales","page":"r0902","title":"Revisando el concepto de movimiento social","title-short":"Revisando el concepto de movimiento social","volume":"9","author":[{"family":"Diani","given":"Mario"}],"issued":{"date-parts":[["2015"]]},"citation-key":"dianiRevisandoConceptoMovimiento2015"}},{"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id":5398,"uris":["http://zotero.org/users/4081719/items/ZTNHSBVK"],"itemData":{"id":5398,"type":"book","event-place":"Madrid","publisher":"Akal","publisher-place":"Madrid","title":"Movimientos sociales: perspectivas comparadas. Oportunidades políticas, estructuras de movilización y marcos interpretativos culturales","editor":[{"family":"McAdam","given":"Doug"},{"family":"McCarthy","given":"John D."},{"family":"Zald","given":"Mayer N."}],"issued":{"date-parts":[["1999"]]},"citation-key":"mcadamMovimientosSocialesPerspectivas1999"}},{"id":4998,"uris":["http://zotero.org/users/4081719/items/3RF4P5SM"],"itemData":{"id":4998,"type":"book","event-place":"Cambridge","publisher":"Cambridge University Press","publisher-place":"Cambridge","title":"Dynamics of Contention","author":[{"family":"McAdam","given":"Doug"},{"family":"Tarrow","given":"Sidney"},{"family":"Tilly","given":"Charles"}],"issued":{"date-parts":[["2001"]]},"citation-key":"mcadamDynamicsContention2001"}}],"schema":"https://github.com/citation-style-language/schema/raw/master/csl-citation.json"} </w:instrText>
      </w:r>
      <w:r>
        <w:fldChar w:fldCharType="separate"/>
      </w:r>
      <w:r w:rsidRPr="00C05167">
        <w:rPr>
          <w:rFonts w:ascii="Cambria" w:hAnsi="Cambria" w:cs="Times New Roman"/>
        </w:rPr>
        <w:t>Mario Diani, «</w:t>
      </w:r>
      <w:proofErr w:type="spellStart"/>
      <w:r w:rsidRPr="00C05167">
        <w:rPr>
          <w:rFonts w:ascii="Cambria" w:hAnsi="Cambria" w:cs="Times New Roman"/>
        </w:rPr>
        <w:t>Revisando</w:t>
      </w:r>
      <w:proofErr w:type="spellEnd"/>
      <w:r w:rsidRPr="00C05167">
        <w:rPr>
          <w:rFonts w:ascii="Cambria" w:hAnsi="Cambria" w:cs="Times New Roman"/>
        </w:rPr>
        <w:t xml:space="preserve"> </w:t>
      </w:r>
      <w:proofErr w:type="spellStart"/>
      <w:r w:rsidRPr="00C05167">
        <w:rPr>
          <w:rFonts w:ascii="Cambria" w:hAnsi="Cambria" w:cs="Times New Roman"/>
        </w:rPr>
        <w:t>el</w:t>
      </w:r>
      <w:proofErr w:type="spellEnd"/>
      <w:r w:rsidRPr="00C05167">
        <w:rPr>
          <w:rFonts w:ascii="Cambria" w:hAnsi="Cambria" w:cs="Times New Roman"/>
        </w:rPr>
        <w:t xml:space="preserve"> </w:t>
      </w:r>
      <w:proofErr w:type="spellStart"/>
      <w:r w:rsidRPr="00C05167">
        <w:rPr>
          <w:rFonts w:ascii="Cambria" w:hAnsi="Cambria" w:cs="Times New Roman"/>
        </w:rPr>
        <w:t>concepto</w:t>
      </w:r>
      <w:proofErr w:type="spellEnd"/>
      <w:r w:rsidRPr="00C05167">
        <w:rPr>
          <w:rFonts w:ascii="Cambria" w:hAnsi="Cambria" w:cs="Times New Roman"/>
        </w:rPr>
        <w:t xml:space="preserve"> de </w:t>
      </w:r>
      <w:proofErr w:type="spellStart"/>
      <w:r w:rsidRPr="00C05167">
        <w:rPr>
          <w:rFonts w:ascii="Cambria" w:hAnsi="Cambria" w:cs="Times New Roman"/>
        </w:rPr>
        <w:t>movimiento</w:t>
      </w:r>
      <w:proofErr w:type="spellEnd"/>
      <w:r w:rsidRPr="00C05167">
        <w:rPr>
          <w:rFonts w:ascii="Cambria" w:hAnsi="Cambria" w:cs="Times New Roman"/>
        </w:rPr>
        <w:t xml:space="preserve"> social», </w:t>
      </w:r>
      <w:proofErr w:type="spellStart"/>
      <w:r w:rsidRPr="00C05167">
        <w:rPr>
          <w:rFonts w:ascii="Cambria" w:hAnsi="Cambria" w:cs="Times New Roman"/>
          <w:i/>
          <w:iCs/>
        </w:rPr>
        <w:t>Encrucijadas</w:t>
      </w:r>
      <w:proofErr w:type="spellEnd"/>
      <w:r w:rsidRPr="00C05167">
        <w:rPr>
          <w:rFonts w:ascii="Cambria" w:hAnsi="Cambria" w:cs="Times New Roman"/>
          <w:i/>
          <w:iCs/>
        </w:rPr>
        <w:t xml:space="preserve">. </w:t>
      </w:r>
      <w:r w:rsidRPr="00C05167">
        <w:rPr>
          <w:rFonts w:ascii="Cambria" w:hAnsi="Cambria" w:cs="Times New Roman"/>
          <w:i/>
          <w:iCs/>
          <w:lang w:val="es-PE"/>
        </w:rPr>
        <w:t>Revista Crítica de Ciencias Sociales</w:t>
      </w:r>
      <w:r w:rsidRPr="00C05167">
        <w:rPr>
          <w:rFonts w:ascii="Cambria" w:hAnsi="Cambria" w:cs="Times New Roman"/>
          <w:lang w:val="es-PE"/>
        </w:rPr>
        <w:t xml:space="preserve"> 9 (2015): r0902; José Manuel Mejía y Renzo </w:t>
      </w:r>
      <w:proofErr w:type="spellStart"/>
      <w:r w:rsidRPr="00C05167">
        <w:rPr>
          <w:rFonts w:ascii="Cambria" w:hAnsi="Cambria" w:cs="Times New Roman"/>
          <w:lang w:val="es-PE"/>
        </w:rPr>
        <w:t>Aurazo</w:t>
      </w:r>
      <w:proofErr w:type="spellEnd"/>
      <w:r w:rsidRPr="00C05167">
        <w:rPr>
          <w:rFonts w:ascii="Cambria" w:hAnsi="Cambria" w:cs="Times New Roman"/>
          <w:lang w:val="es-PE"/>
        </w:rPr>
        <w:t xml:space="preserve">, «Repensando la fragmentación de la contienda política transgresiva en el Perú </w:t>
      </w:r>
      <w:proofErr w:type="spellStart"/>
      <w:r w:rsidRPr="00C05167">
        <w:rPr>
          <w:rFonts w:ascii="Cambria" w:hAnsi="Cambria" w:cs="Times New Roman"/>
          <w:lang w:val="es-PE"/>
        </w:rPr>
        <w:t>post-transición</w:t>
      </w:r>
      <w:proofErr w:type="spellEnd"/>
      <w:r w:rsidRPr="00C05167">
        <w:rPr>
          <w:rFonts w:ascii="Cambria" w:hAnsi="Cambria" w:cs="Times New Roman"/>
          <w:lang w:val="es-PE"/>
        </w:rPr>
        <w:t xml:space="preserve">, 2001-2003», </w:t>
      </w:r>
      <w:r w:rsidRPr="00C05167">
        <w:rPr>
          <w:rFonts w:ascii="Cambria" w:hAnsi="Cambria" w:cs="Times New Roman"/>
          <w:i/>
          <w:iCs/>
          <w:lang w:val="es-PE"/>
        </w:rPr>
        <w:t>Encrucijadas. Revista Crítica de Ciencias Sociales</w:t>
      </w:r>
      <w:r w:rsidRPr="00C05167">
        <w:rPr>
          <w:rFonts w:ascii="Cambria" w:hAnsi="Cambria" w:cs="Times New Roman"/>
          <w:lang w:val="es-PE"/>
        </w:rPr>
        <w:t xml:space="preserve"> 9 (2015), https://recyt.fecyt.es/index.php/encrucijadas/article/view/79029; Doug </w:t>
      </w:r>
      <w:proofErr w:type="spellStart"/>
      <w:r w:rsidRPr="00C05167">
        <w:rPr>
          <w:rFonts w:ascii="Cambria" w:hAnsi="Cambria" w:cs="Times New Roman"/>
          <w:lang w:val="es-PE"/>
        </w:rPr>
        <w:t>McAdam</w:t>
      </w:r>
      <w:proofErr w:type="spellEnd"/>
      <w:r w:rsidRPr="00C05167">
        <w:rPr>
          <w:rFonts w:ascii="Cambria" w:hAnsi="Cambria" w:cs="Times New Roman"/>
          <w:lang w:val="es-PE"/>
        </w:rPr>
        <w:t xml:space="preserve">, John D. McCarthy, y Mayer N. </w:t>
      </w:r>
      <w:proofErr w:type="spellStart"/>
      <w:r w:rsidRPr="00C05167">
        <w:rPr>
          <w:rFonts w:ascii="Cambria" w:hAnsi="Cambria" w:cs="Times New Roman"/>
          <w:lang w:val="es-PE"/>
        </w:rPr>
        <w:t>Zald</w:t>
      </w:r>
      <w:proofErr w:type="spellEnd"/>
      <w:r w:rsidRPr="00C05167">
        <w:rPr>
          <w:rFonts w:ascii="Cambria" w:hAnsi="Cambria" w:cs="Times New Roman"/>
          <w:lang w:val="es-PE"/>
        </w:rPr>
        <w:t xml:space="preserve">, eds., </w:t>
      </w:r>
      <w:r w:rsidRPr="00C05167">
        <w:rPr>
          <w:rFonts w:ascii="Cambria" w:hAnsi="Cambria" w:cs="Times New Roman"/>
          <w:i/>
          <w:iCs/>
          <w:lang w:val="es-PE"/>
        </w:rPr>
        <w:t>Movimientos sociales: perspectivas comparadas. Oportunidades políticas, estructuras de movilización y marcos interpretativos culturales</w:t>
      </w:r>
      <w:r w:rsidRPr="00C05167">
        <w:rPr>
          <w:rFonts w:ascii="Cambria" w:hAnsi="Cambria" w:cs="Times New Roman"/>
          <w:lang w:val="es-PE"/>
        </w:rPr>
        <w:t xml:space="preserve"> (Madrid: Akal, 1999); Doug </w:t>
      </w:r>
      <w:proofErr w:type="spellStart"/>
      <w:r w:rsidRPr="00C05167">
        <w:rPr>
          <w:rFonts w:ascii="Cambria" w:hAnsi="Cambria" w:cs="Times New Roman"/>
          <w:lang w:val="es-PE"/>
        </w:rPr>
        <w:t>McAdam</w:t>
      </w:r>
      <w:proofErr w:type="spellEnd"/>
      <w:r w:rsidRPr="00C05167">
        <w:rPr>
          <w:rFonts w:ascii="Cambria" w:hAnsi="Cambria" w:cs="Times New Roman"/>
          <w:lang w:val="es-PE"/>
        </w:rPr>
        <w:t xml:space="preserve">, </w:t>
      </w:r>
      <w:proofErr w:type="spellStart"/>
      <w:r w:rsidRPr="00C05167">
        <w:rPr>
          <w:rFonts w:ascii="Cambria" w:hAnsi="Cambria" w:cs="Times New Roman"/>
          <w:lang w:val="es-PE"/>
        </w:rPr>
        <w:t>Sidney</w:t>
      </w:r>
      <w:proofErr w:type="spellEnd"/>
      <w:r w:rsidRPr="00C05167">
        <w:rPr>
          <w:rFonts w:ascii="Cambria" w:hAnsi="Cambria" w:cs="Times New Roman"/>
          <w:lang w:val="es-PE"/>
        </w:rPr>
        <w:t xml:space="preserve"> Tarrow, y Charles Tilly, </w:t>
      </w:r>
      <w:r w:rsidRPr="00C05167">
        <w:rPr>
          <w:rFonts w:ascii="Cambria" w:hAnsi="Cambria" w:cs="Times New Roman"/>
          <w:i/>
          <w:iCs/>
          <w:lang w:val="es-PE"/>
        </w:rPr>
        <w:t xml:space="preserve">Dynamics </w:t>
      </w:r>
      <w:proofErr w:type="spellStart"/>
      <w:r w:rsidRPr="00C05167">
        <w:rPr>
          <w:rFonts w:ascii="Cambria" w:hAnsi="Cambria" w:cs="Times New Roman"/>
          <w:i/>
          <w:iCs/>
          <w:lang w:val="es-PE"/>
        </w:rPr>
        <w:t>of</w:t>
      </w:r>
      <w:proofErr w:type="spellEnd"/>
      <w:r w:rsidRPr="00C05167">
        <w:rPr>
          <w:rFonts w:ascii="Cambria" w:hAnsi="Cambria" w:cs="Times New Roman"/>
          <w:i/>
          <w:iCs/>
          <w:lang w:val="es-PE"/>
        </w:rPr>
        <w:t xml:space="preserve"> </w:t>
      </w:r>
      <w:proofErr w:type="spellStart"/>
      <w:r w:rsidRPr="00C05167">
        <w:rPr>
          <w:rFonts w:ascii="Cambria" w:hAnsi="Cambria" w:cs="Times New Roman"/>
          <w:i/>
          <w:iCs/>
          <w:lang w:val="es-PE"/>
        </w:rPr>
        <w:t>Contention</w:t>
      </w:r>
      <w:proofErr w:type="spellEnd"/>
      <w:r w:rsidRPr="00C05167">
        <w:rPr>
          <w:rFonts w:ascii="Cambria" w:hAnsi="Cambria" w:cs="Times New Roman"/>
          <w:lang w:val="es-PE"/>
        </w:rPr>
        <w:t xml:space="preserve"> (Cambridge: Cambridge </w:t>
      </w:r>
      <w:proofErr w:type="spellStart"/>
      <w:r w:rsidRPr="00C05167">
        <w:rPr>
          <w:rFonts w:ascii="Cambria" w:hAnsi="Cambria" w:cs="Times New Roman"/>
          <w:lang w:val="es-PE"/>
        </w:rPr>
        <w:t>University</w:t>
      </w:r>
      <w:proofErr w:type="spellEnd"/>
      <w:r w:rsidRPr="00C05167">
        <w:rPr>
          <w:rFonts w:ascii="Cambria" w:hAnsi="Cambria" w:cs="Times New Roman"/>
          <w:lang w:val="es-PE"/>
        </w:rPr>
        <w:t xml:space="preserve"> </w:t>
      </w:r>
      <w:proofErr w:type="spellStart"/>
      <w:r w:rsidRPr="00C05167">
        <w:rPr>
          <w:rFonts w:ascii="Cambria" w:hAnsi="Cambria" w:cs="Times New Roman"/>
          <w:lang w:val="es-PE"/>
        </w:rPr>
        <w:t>Press</w:t>
      </w:r>
      <w:proofErr w:type="spellEnd"/>
      <w:r w:rsidRPr="00C05167">
        <w:rPr>
          <w:rFonts w:ascii="Cambria" w:hAnsi="Cambria" w:cs="Times New Roman"/>
          <w:lang w:val="es-PE"/>
        </w:rPr>
        <w:t>, 2001).</w:t>
      </w:r>
      <w:r>
        <w:fldChar w:fldCharType="end"/>
      </w:r>
    </w:p>
  </w:footnote>
  <w:footnote w:id="2">
    <w:p w14:paraId="0C98B011" w14:textId="180F7F1B" w:rsidR="00C05167" w:rsidRPr="00C05167" w:rsidRDefault="00C05167">
      <w:pPr>
        <w:pStyle w:val="FootnoteText"/>
      </w:pPr>
      <w:r>
        <w:rPr>
          <w:rStyle w:val="FootnoteReference"/>
        </w:rPr>
        <w:footnoteRef/>
      </w:r>
      <w:r w:rsidRPr="00C05167">
        <w:rPr>
          <w:lang w:val="es-PE"/>
        </w:rPr>
        <w:t xml:space="preserve"> </w:t>
      </w:r>
      <w:r>
        <w:fldChar w:fldCharType="begin"/>
      </w:r>
      <w:r w:rsidRPr="00C05167">
        <w:rPr>
          <w:lang w:val="es-PE"/>
        </w:rPr>
        <w:instrText xml:space="preserve"> ADDIN ZOTERO_ITEM CSL_CITATION {"citationID":"V2kijnYK","properties":{"formattedCitation":"Michael Lipsky, \\uc0\\u171{}Protest as a political resource\\uc0\\u187{}, {\\i{}The American Political Science Review} 62, n.\\super o\\nosupersub{} 4 (1968): 1144-58, http://www.jstor.org/stable/1953909?origin=JSTOR-pdf; Donatella Della Porta y Mario Diani, {\\i{}Los Movimientos Sociales} (Madrid: Centro de Investigaciones Sociol\\uc0\\u243{}gicas &amp; Editorial Complutense, 2011); Sidney Tarrow, {\\i{}Power in Movement. Social Movements and Contentious Politics}, 3rd ed. (Cambridge: Cambridge University Press, 2011), 201.","plainCitation":"Michael Lipsky, «Protest as a political resource», The American Political Science Review 62, n.o 4 (1968): 1144-58, http://www.jstor.org/stable/1953909?origin=JSTOR-pdf; Donatella Della Porta y Mario Diani, Los Movimientos Sociales (Madrid: Centro de Investigaciones Sociológicas &amp; Editorial Complutense, 2011); Sidney Tarrow, Power in Movement. Social Movements and Contentious Politics, 3rd ed. (Cambridge: Cambridge University Press, 2011), 201.","noteIndex":2},"citationItems":[{"id":343,"uris":["http://zotero.org/users/4081719/items/H8MTFZZQ"],"itemData":{"id":343,"type":"article-journal","container-title":"The American Political Science Review","issue":"4","page":"1144-1158","title":"Protest as a political resource","title-short":"Protest as a political resource","URL":"http://www.jstor.org/stable/1953909?origin=JSTOR-pdf","volume":"62","author":[{"family":"Lipsky","given":"Michael"}],"issued":{"date-parts":[["1968"]]},"citation-key":"lipskyProtestPoliticalResource1968g"}},{"id":150,"uris":["http://zotero.org/users/4081719/items/8SU5T4K4"],"itemData":{"id":150,"type":"book","event-place":"Madrid","publisher":"Centro de Investigaciones Sociológicas &amp; Editorial Complutense","publisher-place":"Madrid","title":"Los Movimientos Sociales","author":[{"family":"Della Porta","given":"Donatella"},{"family":"Diani","given":"Mario"}],"issued":{"date-parts":[["2011"]]},"citation-key":"dellaportaMovimientosSociales2011"}},{"id":5444,"uris":["http://zotero.org/users/4081719/items/U7E2FP27"],"itemData":{"id":5444,"type":"book","edition":"3rd","event-place":"Cambridge","publisher":"Cambridge University Press","publisher-place":"Cambridge","title":"Power in Movement. Social Movements and Contentious Politics","author":[{"family":"Tarrow","given":"Sidney"}],"issued":{"date-parts":[["2011"]]},"citation-key":"tarrowPowerMovementSocial2011"},"locator":"201"}],"schema":"https://github.com/citation-style-language/schema/raw/master/csl-citation.json"} </w:instrText>
      </w:r>
      <w:r>
        <w:fldChar w:fldCharType="separate"/>
      </w:r>
      <w:r w:rsidRPr="00C05167">
        <w:rPr>
          <w:rFonts w:ascii="Cambria" w:hAnsi="Cambria" w:cs="Times New Roman"/>
          <w:lang w:val="es-PE"/>
        </w:rPr>
        <w:t xml:space="preserve">Michael </w:t>
      </w:r>
      <w:proofErr w:type="spellStart"/>
      <w:r w:rsidRPr="00C05167">
        <w:rPr>
          <w:rFonts w:ascii="Cambria" w:hAnsi="Cambria" w:cs="Times New Roman"/>
          <w:lang w:val="es-PE"/>
        </w:rPr>
        <w:t>Lipsky</w:t>
      </w:r>
      <w:proofErr w:type="spellEnd"/>
      <w:r w:rsidRPr="00C05167">
        <w:rPr>
          <w:rFonts w:ascii="Cambria" w:hAnsi="Cambria" w:cs="Times New Roman"/>
          <w:lang w:val="es-PE"/>
        </w:rPr>
        <w:t>, «</w:t>
      </w:r>
      <w:proofErr w:type="spellStart"/>
      <w:r w:rsidRPr="00C05167">
        <w:rPr>
          <w:rFonts w:ascii="Cambria" w:hAnsi="Cambria" w:cs="Times New Roman"/>
          <w:lang w:val="es-PE"/>
        </w:rPr>
        <w:t>Protest</w:t>
      </w:r>
      <w:proofErr w:type="spellEnd"/>
      <w:r w:rsidRPr="00C05167">
        <w:rPr>
          <w:rFonts w:ascii="Cambria" w:hAnsi="Cambria" w:cs="Times New Roman"/>
          <w:lang w:val="es-PE"/>
        </w:rPr>
        <w:t xml:space="preserve"> as a </w:t>
      </w:r>
      <w:proofErr w:type="spellStart"/>
      <w:r w:rsidRPr="00C05167">
        <w:rPr>
          <w:rFonts w:ascii="Cambria" w:hAnsi="Cambria" w:cs="Times New Roman"/>
          <w:lang w:val="es-PE"/>
        </w:rPr>
        <w:t>political</w:t>
      </w:r>
      <w:proofErr w:type="spellEnd"/>
      <w:r w:rsidRPr="00C05167">
        <w:rPr>
          <w:rFonts w:ascii="Cambria" w:hAnsi="Cambria" w:cs="Times New Roman"/>
          <w:lang w:val="es-PE"/>
        </w:rPr>
        <w:t xml:space="preserve"> </w:t>
      </w:r>
      <w:proofErr w:type="spellStart"/>
      <w:r w:rsidRPr="00C05167">
        <w:rPr>
          <w:rFonts w:ascii="Cambria" w:hAnsi="Cambria" w:cs="Times New Roman"/>
          <w:lang w:val="es-PE"/>
        </w:rPr>
        <w:t>resource</w:t>
      </w:r>
      <w:proofErr w:type="spellEnd"/>
      <w:r w:rsidRPr="00C05167">
        <w:rPr>
          <w:rFonts w:ascii="Cambria" w:hAnsi="Cambria" w:cs="Times New Roman"/>
          <w:lang w:val="es-PE"/>
        </w:rPr>
        <w:t xml:space="preserve">», </w:t>
      </w:r>
      <w:proofErr w:type="spellStart"/>
      <w:r w:rsidRPr="00C05167">
        <w:rPr>
          <w:rFonts w:ascii="Cambria" w:hAnsi="Cambria" w:cs="Times New Roman"/>
          <w:i/>
          <w:iCs/>
          <w:lang w:val="es-PE"/>
        </w:rPr>
        <w:t>The</w:t>
      </w:r>
      <w:proofErr w:type="spellEnd"/>
      <w:r w:rsidRPr="00C05167">
        <w:rPr>
          <w:rFonts w:ascii="Cambria" w:hAnsi="Cambria" w:cs="Times New Roman"/>
          <w:i/>
          <w:iCs/>
          <w:lang w:val="es-PE"/>
        </w:rPr>
        <w:t xml:space="preserve"> American </w:t>
      </w:r>
      <w:proofErr w:type="spellStart"/>
      <w:r w:rsidRPr="00C05167">
        <w:rPr>
          <w:rFonts w:ascii="Cambria" w:hAnsi="Cambria" w:cs="Times New Roman"/>
          <w:i/>
          <w:iCs/>
          <w:lang w:val="es-PE"/>
        </w:rPr>
        <w:t>Political</w:t>
      </w:r>
      <w:proofErr w:type="spellEnd"/>
      <w:r w:rsidRPr="00C05167">
        <w:rPr>
          <w:rFonts w:ascii="Cambria" w:hAnsi="Cambria" w:cs="Times New Roman"/>
          <w:i/>
          <w:iCs/>
          <w:lang w:val="es-PE"/>
        </w:rPr>
        <w:t xml:space="preserve"> </w:t>
      </w:r>
      <w:proofErr w:type="spellStart"/>
      <w:r w:rsidRPr="00C05167">
        <w:rPr>
          <w:rFonts w:ascii="Cambria" w:hAnsi="Cambria" w:cs="Times New Roman"/>
          <w:i/>
          <w:iCs/>
          <w:lang w:val="es-PE"/>
        </w:rPr>
        <w:t>Science</w:t>
      </w:r>
      <w:proofErr w:type="spellEnd"/>
      <w:r w:rsidRPr="00C05167">
        <w:rPr>
          <w:rFonts w:ascii="Cambria" w:hAnsi="Cambria" w:cs="Times New Roman"/>
          <w:i/>
          <w:iCs/>
          <w:lang w:val="es-PE"/>
        </w:rPr>
        <w:t xml:space="preserve"> </w:t>
      </w:r>
      <w:proofErr w:type="spellStart"/>
      <w:r w:rsidRPr="00C05167">
        <w:rPr>
          <w:rFonts w:ascii="Cambria" w:hAnsi="Cambria" w:cs="Times New Roman"/>
          <w:i/>
          <w:iCs/>
          <w:lang w:val="es-PE"/>
        </w:rPr>
        <w:t>Review</w:t>
      </w:r>
      <w:proofErr w:type="spellEnd"/>
      <w:r w:rsidRPr="00C05167">
        <w:rPr>
          <w:rFonts w:ascii="Cambria" w:hAnsi="Cambria" w:cs="Times New Roman"/>
          <w:lang w:val="es-PE"/>
        </w:rPr>
        <w:t xml:space="preserve"> 62, </w:t>
      </w:r>
      <w:proofErr w:type="spellStart"/>
      <w:r w:rsidRPr="00C05167">
        <w:rPr>
          <w:rFonts w:ascii="Cambria" w:hAnsi="Cambria" w:cs="Times New Roman"/>
          <w:lang w:val="es-PE"/>
        </w:rPr>
        <w:t>n.</w:t>
      </w:r>
      <w:r w:rsidRPr="00C05167">
        <w:rPr>
          <w:rFonts w:ascii="Cambria" w:hAnsi="Cambria" w:cs="Times New Roman"/>
          <w:vertAlign w:val="superscript"/>
          <w:lang w:val="es-PE"/>
        </w:rPr>
        <w:t>o</w:t>
      </w:r>
      <w:proofErr w:type="spellEnd"/>
      <w:r w:rsidRPr="00C05167">
        <w:rPr>
          <w:rFonts w:ascii="Cambria" w:hAnsi="Cambria" w:cs="Times New Roman"/>
          <w:lang w:val="es-PE"/>
        </w:rPr>
        <w:t xml:space="preserve"> 4 (1968): 1144-58; Donatella Della Porta y Mario </w:t>
      </w:r>
      <w:proofErr w:type="spellStart"/>
      <w:r w:rsidRPr="00C05167">
        <w:rPr>
          <w:rFonts w:ascii="Cambria" w:hAnsi="Cambria" w:cs="Times New Roman"/>
          <w:lang w:val="es-PE"/>
        </w:rPr>
        <w:t>Diani</w:t>
      </w:r>
      <w:proofErr w:type="spellEnd"/>
      <w:r w:rsidRPr="00C05167">
        <w:rPr>
          <w:rFonts w:ascii="Cambria" w:hAnsi="Cambria" w:cs="Times New Roman"/>
          <w:lang w:val="es-PE"/>
        </w:rPr>
        <w:t xml:space="preserve">, </w:t>
      </w:r>
      <w:r w:rsidRPr="00C05167">
        <w:rPr>
          <w:rFonts w:ascii="Cambria" w:hAnsi="Cambria" w:cs="Times New Roman"/>
          <w:i/>
          <w:iCs/>
          <w:lang w:val="es-PE"/>
        </w:rPr>
        <w:t>Los Movimientos Sociales</w:t>
      </w:r>
      <w:r w:rsidRPr="00C05167">
        <w:rPr>
          <w:rFonts w:ascii="Cambria" w:hAnsi="Cambria" w:cs="Times New Roman"/>
          <w:lang w:val="es-PE"/>
        </w:rPr>
        <w:t xml:space="preserve"> (Madrid: Centro de Investigaciones Sociológicas &amp; Editorial Complutense, 2011); </w:t>
      </w:r>
      <w:proofErr w:type="spellStart"/>
      <w:r w:rsidRPr="00C05167">
        <w:rPr>
          <w:rFonts w:ascii="Cambria" w:hAnsi="Cambria" w:cs="Times New Roman"/>
          <w:lang w:val="es-PE"/>
        </w:rPr>
        <w:t>Sidney</w:t>
      </w:r>
      <w:proofErr w:type="spellEnd"/>
      <w:r w:rsidRPr="00C05167">
        <w:rPr>
          <w:rFonts w:ascii="Cambria" w:hAnsi="Cambria" w:cs="Times New Roman"/>
          <w:lang w:val="es-PE"/>
        </w:rPr>
        <w:t xml:space="preserve"> Tarrow, </w:t>
      </w:r>
      <w:proofErr w:type="spellStart"/>
      <w:r w:rsidRPr="00C05167">
        <w:rPr>
          <w:rFonts w:ascii="Cambria" w:hAnsi="Cambria" w:cs="Times New Roman"/>
          <w:i/>
          <w:iCs/>
          <w:lang w:val="es-PE"/>
        </w:rPr>
        <w:t>Power</w:t>
      </w:r>
      <w:proofErr w:type="spellEnd"/>
      <w:r w:rsidRPr="00C05167">
        <w:rPr>
          <w:rFonts w:ascii="Cambria" w:hAnsi="Cambria" w:cs="Times New Roman"/>
          <w:i/>
          <w:iCs/>
          <w:lang w:val="es-PE"/>
        </w:rPr>
        <w:t xml:space="preserve"> in </w:t>
      </w:r>
      <w:proofErr w:type="spellStart"/>
      <w:r w:rsidRPr="00C05167">
        <w:rPr>
          <w:rFonts w:ascii="Cambria" w:hAnsi="Cambria" w:cs="Times New Roman"/>
          <w:i/>
          <w:iCs/>
          <w:lang w:val="es-PE"/>
        </w:rPr>
        <w:t>Movement</w:t>
      </w:r>
      <w:proofErr w:type="spellEnd"/>
      <w:r w:rsidRPr="00C05167">
        <w:rPr>
          <w:rFonts w:ascii="Cambria" w:hAnsi="Cambria" w:cs="Times New Roman"/>
          <w:i/>
          <w:iCs/>
          <w:lang w:val="es-PE"/>
        </w:rPr>
        <w:t xml:space="preserve">. </w:t>
      </w:r>
      <w:r w:rsidRPr="00C05167">
        <w:rPr>
          <w:rFonts w:ascii="Cambria" w:hAnsi="Cambria" w:cs="Times New Roman"/>
          <w:i/>
          <w:iCs/>
        </w:rPr>
        <w:t>Social Movements and Contentious Politics</w:t>
      </w:r>
      <w:r w:rsidRPr="00C05167">
        <w:rPr>
          <w:rFonts w:ascii="Cambria" w:hAnsi="Cambria" w:cs="Times New Roman"/>
        </w:rPr>
        <w:t>, 3rd ed. (Cambridge: Cambridge University Press, 2011), 201.</w:t>
      </w:r>
      <w:r>
        <w:fldChar w:fldCharType="end"/>
      </w:r>
    </w:p>
  </w:footnote>
  <w:footnote w:id="3">
    <w:p w14:paraId="0578C656" w14:textId="48AF640C" w:rsidR="00843B1A" w:rsidRPr="00843B1A" w:rsidRDefault="00843B1A">
      <w:pPr>
        <w:pStyle w:val="FootnoteText"/>
        <w:rPr>
          <w:lang w:val="es-PE"/>
        </w:rPr>
      </w:pPr>
      <w:r>
        <w:rPr>
          <w:rStyle w:val="FootnoteReference"/>
        </w:rPr>
        <w:footnoteRef/>
      </w:r>
      <w:r w:rsidRPr="00843B1A">
        <w:rPr>
          <w:lang w:val="es-PE"/>
        </w:rPr>
        <w:t xml:space="preserve"> </w:t>
      </w:r>
      <w:r>
        <w:fldChar w:fldCharType="begin"/>
      </w:r>
      <w:r w:rsidRPr="00843B1A">
        <w:rPr>
          <w:lang w:val="es-PE"/>
        </w:rPr>
        <w:instrText xml:space="preserve"> ADDIN ZOTERO_ITEM CSL_CITATION {"citationID":"LoRsnwr7","properties":{"formattedCitation":"Leonidas Iza, Andr\\uc0\\u233{}s Madrid, y Andr\\uc0\\u233{}s Tapia, {\\i{}Estallido: La Rebeli\\uc0\\u243{}n de Octubre En Ecuador} (Quito: Red Kapari, 2020); Gustavo Montoya y Homero Quiroz, {\\i{}Estallido Popular. Protesta y Masacre En Per\\uc0\\u250{}, 2022-2023} (Lima: Editorial Estallido &amp; Editorial Horizonte, 2024).","plainCitation":"Leonidas Iza, Andrés Madrid, y Andrés Tapia, Estallido: La Rebelión de Octubre En Ecuador (Quito: Red Kapari, 2020); Gustavo Montoya y Homero Quiroz, Estallido Popular. Protesta y Masacre En Perú, 2022-2023 (Lima: Editorial Estallido &amp; Editorial Horizonte, 2024).","noteIndex":3},"citationItems":[{"id":10449,"uris":["http://zotero.org/users/4081719/items/99PNIPTX"],"itemData":{"id":10449,"type":"book","event-place":"Quito","publisher":"Red Kapari","publisher-place":"Quito","title":"Estallido: La Rebelión de Octubre En Ecuador","author":[{"family":"Iza","given":"Leonidas"},{"family":"Madrid","given":"Andrés"},{"family":"Tapia","given":"Andrés"}],"issued":{"date-parts":[["2020"]]},"citation-key":"izaEstallidoRebelionOctubre2020"}},{"id":10450,"uris":["http://zotero.org/users/4081719/items/AKRWNPLN"],"itemData":{"id":10450,"type":"book","event-place":"Lima","publisher":"Editorial Estallido &amp; Editorial Horizonte","publisher-place":"Lima","title":"Estallido Popular. Protesta y Masacre En Perú, 2022-2023","author":[{"family":"Montoya","given":"Gustavo"},{"family":"Quiroz","given":"Homero"}],"issued":{"date-parts":[["2024"]]},"citation-key":"montoyaEstallidoPopularProtesta2024"}}],"schema":"https://github.com/citation-style-language/schema/raw/master/csl-citation.json"} </w:instrText>
      </w:r>
      <w:r>
        <w:fldChar w:fldCharType="separate"/>
      </w:r>
      <w:proofErr w:type="spellStart"/>
      <w:r w:rsidRPr="00843B1A">
        <w:rPr>
          <w:rFonts w:ascii="Cambria" w:hAnsi="Cambria" w:cs="Times New Roman"/>
          <w:lang w:val="es-PE"/>
        </w:rPr>
        <w:t>Leonidas</w:t>
      </w:r>
      <w:proofErr w:type="spellEnd"/>
      <w:r w:rsidRPr="00843B1A">
        <w:rPr>
          <w:rFonts w:ascii="Cambria" w:hAnsi="Cambria" w:cs="Times New Roman"/>
          <w:lang w:val="es-PE"/>
        </w:rPr>
        <w:t xml:space="preserve"> Iza, Andrés Madrid, y Andrés Tapia, </w:t>
      </w:r>
      <w:r w:rsidRPr="00843B1A">
        <w:rPr>
          <w:rFonts w:ascii="Cambria" w:hAnsi="Cambria" w:cs="Times New Roman"/>
          <w:i/>
          <w:iCs/>
          <w:lang w:val="es-PE"/>
        </w:rPr>
        <w:t>Estallido: La Rebelión de Octubre En Ecuador</w:t>
      </w:r>
      <w:r w:rsidRPr="00843B1A">
        <w:rPr>
          <w:rFonts w:ascii="Cambria" w:hAnsi="Cambria" w:cs="Times New Roman"/>
          <w:lang w:val="es-PE"/>
        </w:rPr>
        <w:t xml:space="preserve"> (Quito: Red </w:t>
      </w:r>
      <w:proofErr w:type="spellStart"/>
      <w:r w:rsidRPr="00843B1A">
        <w:rPr>
          <w:rFonts w:ascii="Cambria" w:hAnsi="Cambria" w:cs="Times New Roman"/>
          <w:lang w:val="es-PE"/>
        </w:rPr>
        <w:t>Kapari</w:t>
      </w:r>
      <w:proofErr w:type="spellEnd"/>
      <w:r w:rsidRPr="00843B1A">
        <w:rPr>
          <w:rFonts w:ascii="Cambria" w:hAnsi="Cambria" w:cs="Times New Roman"/>
          <w:lang w:val="es-PE"/>
        </w:rPr>
        <w:t xml:space="preserve">, 2020); Gustavo Montoya y Homero Quiroz, </w:t>
      </w:r>
      <w:r w:rsidRPr="00843B1A">
        <w:rPr>
          <w:rFonts w:ascii="Cambria" w:hAnsi="Cambria" w:cs="Times New Roman"/>
          <w:i/>
          <w:iCs/>
          <w:lang w:val="es-PE"/>
        </w:rPr>
        <w:t>Estallido Popular. Protesta y Masacre En Perú, 2022-2023</w:t>
      </w:r>
      <w:r w:rsidRPr="00843B1A">
        <w:rPr>
          <w:rFonts w:ascii="Cambria" w:hAnsi="Cambria" w:cs="Times New Roman"/>
          <w:lang w:val="es-PE"/>
        </w:rPr>
        <w:t xml:space="preserve"> (Lima: Editorial Estallido &amp; Editorial Horizonte, 2024).</w:t>
      </w:r>
      <w:r>
        <w:fldChar w:fldCharType="end"/>
      </w:r>
      <w:r w:rsidRPr="00843B1A">
        <w:rPr>
          <w:lang w:val="es-PE"/>
        </w:rPr>
        <w:t xml:space="preserve"> </w:t>
      </w:r>
      <w:r>
        <w:rPr>
          <w:lang w:val="es-PE"/>
        </w:rPr>
        <w:t>El caso de la elección presidencial de Gustavo Petro después de la masacre de más de 200 colombianos en las correspondientes movilizaciones en la brecha final de la primera oleada de protestas contra la reversión autoritaria neoliberal en la región Andina y América Latina en general.</w:t>
      </w:r>
    </w:p>
  </w:footnote>
  <w:footnote w:id="4">
    <w:p w14:paraId="05493B9B" w14:textId="73F0B990" w:rsidR="00DA5D81" w:rsidRPr="00DA5D81" w:rsidRDefault="00DA5D81">
      <w:pPr>
        <w:pStyle w:val="FootnoteText"/>
        <w:rPr>
          <w:lang w:val="es-PE"/>
        </w:rPr>
      </w:pPr>
      <w:r>
        <w:rPr>
          <w:rStyle w:val="FootnoteReference"/>
        </w:rPr>
        <w:footnoteRef/>
      </w:r>
      <w:r w:rsidRPr="00DA5D81">
        <w:rPr>
          <w:lang w:val="es-PE"/>
        </w:rPr>
        <w:t xml:space="preserve"> </w:t>
      </w:r>
      <w:r>
        <w:fldChar w:fldCharType="begin"/>
      </w:r>
      <w:r w:rsidR="00990AB5">
        <w:rPr>
          <w:lang w:val="es-PE"/>
        </w:rPr>
        <w:instrText xml:space="preserve"> ADDIN ZOTERO_ITEM CSL_CITATION {"citationID":"0bhllURO","properties":{"formattedCitation":"Mej\\uc0\\u237{}a y Aurazo, \\uc0\\u171{}Repensando la fragmentaci\\uc0\\u243{}n de la contienda pol\\uc0\\u237{}tica transgresiva en el Per\\uc0\\u250{} post-transici\\uc0\\u243{}n, 2001-2003\\uc0\\u187{}; Jos\\uc0\\u233{} Manuel Mej\\uc0\\u237{}a, \\uc0\\u171{}Cambio de escala en la contienda anti-minera peruana. Construcci\\uc0\\u243{}n de teor\\uc0\\u237{}a a partir del conflicto por la exploraci\\uc0\\u243{}n del cerro Quilish en Cajamarca\\uc0\\u187{} (Tesis para obtener el t\\uc0\\u237{}tulo de maestr\\uc0\\u237{}a en Sociolog\\uc0\\u237{}a Pol\\uc0\\u237{}tica, Quito, Facultad Latinoamericana de Ciencias Sociales - Sede Ecuador, 2021), http://hdl.handle.net/10469/17341.","plainCitation":"Mejía y Aurazo, «Repensando la fragmentación de la contienda política transgresiva en el Perú post-transición, 2001-2003»; José Manuel Mejía, «Cambio de escala en la contienda anti-minera peruana. Construcción de teoría a partir del conflicto por la exploración del cerro Quilish en Cajamarca» (Tesis para obtener el título de maestría en Sociología Política, Quito, Facultad Latinoamericana de Ciencias Sociales - Sede Ecuador, 2021), http://hdl.handle.net/10469/17341.","noteIndex":4},"citationItems":[{"id":1996,"uris":["http://zotero.org/users/4081719/items/NWZPDK9P"],"itemData":{"id":1996,"type":"article-journal","container-title":"Encrucijadas.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label":"page"},{"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Manuel"}],"issued":{"date-parts":[["2021"]]},"citation-key":"mejiaCambioEscalaContienda2021"}}],"schema":"https://github.com/citation-style-language/schema/raw/master/csl-citation.json"} </w:instrText>
      </w:r>
      <w:r>
        <w:fldChar w:fldCharType="separate"/>
      </w:r>
      <w:r w:rsidR="00990AB5" w:rsidRPr="00990AB5">
        <w:rPr>
          <w:rFonts w:ascii="Cambria" w:hAnsi="Cambria" w:cs="Times New Roman"/>
          <w:lang w:val="es-PE"/>
        </w:rPr>
        <w:t xml:space="preserve">Mejía y </w:t>
      </w:r>
      <w:proofErr w:type="spellStart"/>
      <w:r w:rsidR="00990AB5" w:rsidRPr="00990AB5">
        <w:rPr>
          <w:rFonts w:ascii="Cambria" w:hAnsi="Cambria" w:cs="Times New Roman"/>
          <w:lang w:val="es-PE"/>
        </w:rPr>
        <w:t>Aurazo</w:t>
      </w:r>
      <w:proofErr w:type="spellEnd"/>
      <w:r w:rsidR="00990AB5" w:rsidRPr="00990AB5">
        <w:rPr>
          <w:rFonts w:ascii="Cambria" w:hAnsi="Cambria" w:cs="Times New Roman"/>
          <w:lang w:val="es-PE"/>
        </w:rPr>
        <w:t xml:space="preserve">, «Repensando la fragmentación de la contienda política transgresiva en el Perú </w:t>
      </w:r>
      <w:proofErr w:type="spellStart"/>
      <w:r w:rsidR="00990AB5" w:rsidRPr="00990AB5">
        <w:rPr>
          <w:rFonts w:ascii="Cambria" w:hAnsi="Cambria" w:cs="Times New Roman"/>
          <w:lang w:val="es-PE"/>
        </w:rPr>
        <w:t>post-transición</w:t>
      </w:r>
      <w:proofErr w:type="spellEnd"/>
      <w:r w:rsidR="00990AB5" w:rsidRPr="00990AB5">
        <w:rPr>
          <w:rFonts w:ascii="Cambria" w:hAnsi="Cambria" w:cs="Times New Roman"/>
          <w:lang w:val="es-PE"/>
        </w:rPr>
        <w:t xml:space="preserve">, 2001-2003»; José Manuel Mejía, «Cambio de escala en la contienda </w:t>
      </w:r>
      <w:proofErr w:type="spellStart"/>
      <w:r w:rsidR="00990AB5" w:rsidRPr="00990AB5">
        <w:rPr>
          <w:rFonts w:ascii="Cambria" w:hAnsi="Cambria" w:cs="Times New Roman"/>
          <w:lang w:val="es-PE"/>
        </w:rPr>
        <w:t>anti-minera</w:t>
      </w:r>
      <w:proofErr w:type="spellEnd"/>
      <w:r w:rsidR="00990AB5" w:rsidRPr="00990AB5">
        <w:rPr>
          <w:rFonts w:ascii="Cambria" w:hAnsi="Cambria" w:cs="Times New Roman"/>
          <w:lang w:val="es-PE"/>
        </w:rPr>
        <w:t xml:space="preserve"> peruana. Construcción de teoría a partir del conflicto por la exploración del cerro </w:t>
      </w:r>
      <w:proofErr w:type="spellStart"/>
      <w:r w:rsidR="00990AB5" w:rsidRPr="00990AB5">
        <w:rPr>
          <w:rFonts w:ascii="Cambria" w:hAnsi="Cambria" w:cs="Times New Roman"/>
          <w:lang w:val="es-PE"/>
        </w:rPr>
        <w:t>Quilish</w:t>
      </w:r>
      <w:proofErr w:type="spellEnd"/>
      <w:r w:rsidR="00990AB5" w:rsidRPr="00990AB5">
        <w:rPr>
          <w:rFonts w:ascii="Cambria" w:hAnsi="Cambria" w:cs="Times New Roman"/>
          <w:lang w:val="es-PE"/>
        </w:rPr>
        <w:t xml:space="preserve"> en Cajamarca» (Tesis para obtener el título de maestría en Sociología Política, Quito, Facultad Latinoamericana de Ciencias Sociales - Sede Ecuador, 2021)</w:t>
      </w:r>
      <w:r w:rsidR="00990AB5">
        <w:rPr>
          <w:rFonts w:ascii="Cambria" w:hAnsi="Cambria" w:cs="Times New Roman"/>
          <w:lang w:val="es-PE"/>
        </w:rPr>
        <w:t>.</w:t>
      </w:r>
      <w:r>
        <w:fldChar w:fldCharType="end"/>
      </w:r>
    </w:p>
  </w:footnote>
  <w:footnote w:id="5">
    <w:p w14:paraId="50F76A4B" w14:textId="3A099BF9" w:rsidR="00DE7C6E" w:rsidRPr="00DE7C6E" w:rsidRDefault="00DE7C6E">
      <w:pPr>
        <w:pStyle w:val="FootnoteText"/>
        <w:rPr>
          <w:lang w:val="es-PE"/>
        </w:rPr>
      </w:pPr>
      <w:r>
        <w:rPr>
          <w:rStyle w:val="FootnoteReference"/>
        </w:rPr>
        <w:footnoteRef/>
      </w:r>
      <w:r>
        <w:t xml:space="preserve"> </w:t>
      </w:r>
      <w:r>
        <w:fldChar w:fldCharType="begin"/>
      </w:r>
      <w:r>
        <w:instrText xml:space="preserve"> ADDIN ZOTERO_ITEM CSL_CITATION {"citationID":"qrIAa0Rc","properties":{"formattedCitation":"V. I. Lenin, \\uc0\\u171{}Imperialism, the highest stage of capitalism. A popular outline\\uc0\\u187{}, en {\\i{}V. I. Lenin Collected Works. December 1915 - July 1916}, vol. 22 (Moscow: Progress Publishers, 1964), 185-304; An\\uc0\\u237{}bal Quijano, \\uc0\\u171{}Imperialismo, clases sociales y estado en el Per\\uc0\\u250{}: 1985-1930\\uc0\\u187{}, en {\\i{}Clases sociales y crisis pol\\uc0\\u237{}tica en Am\\uc0\\u233{}rica Latina: Seminario de Oaxaca}, ed. Ra\\uc0\\u250{}l Ben\\uc0\\u237{}tez Zenteno, Quinta (M\\uc0\\u233{}xico, MX: Siglo Veintiuno, 1988), 113-50.","plainCitation":"V. I. Lenin, «Imperialism, the highest stage of capitalism. A popular outline», en V. I. Lenin Collected Works. December 1915 - July 1916, vol. 22 (Moscow: Progress Publishers, 1964), 185-304; Aníbal Quijano, «Imperialismo, clases sociales y estado en el Perú: 1985-1930», en Clases sociales y crisis política en América Latina: Seminario de Oaxaca, ed. Raúl Benítez Zenteno, Quinta (México, MX: Siglo Veintiuno, 1988), 113-50.","noteIndex":5},"citationItems":[{"id":46,"uris":["http://zotero.org/users/4081719/items/AYDYMIS5"],"itemData":{"id":46,"type":"chapter","container-title":"V. I. Lenin Collected Works. December 1915 - July 1916","event-place":"Moscow","page":"185-304","publisher":"Progress Publishers","publisher-place":"Moscow","title":"Imperialism, the highest stage of capitalism. A popular outline","volume":"22","author":[{"family":"Lenin","given":"V. I."}],"issued":{"date-parts":[["1964"]]},"citation-key":"leninImperialismHighestStage1964"}},{"id":5467,"uris":["http://zotero.org/users/4081719/items/XUFSKDPG"],"itemData":{"id":5467,"type":"chapter","container-title":"Clases sociales y crisis política en América Latina: Seminario de Oaxaca","edition":"Quinta","event-place":"México, MX:","ISBN":"968-23-1503-9","page":"113-150","publisher":"Siglo Veintiuno","publisher-place":"México, MX:","title":"Imperialismo, clases sociales y estado en el Perú: 1985-1930","editor":[{"family":"Benítez Zenteno","given":"Raúl"}],"author":[{"family":"Quijano","given":"Aníbal"}],"issued":{"date-parts":[["1988"]]},"citation-key":"quijanoImperialismoClasesSociales1988"}}],"schema":"https://github.com/citation-style-language/schema/raw/master/csl-citation.json"} </w:instrText>
      </w:r>
      <w:r>
        <w:fldChar w:fldCharType="separate"/>
      </w:r>
      <w:r w:rsidRPr="00DE7C6E">
        <w:rPr>
          <w:rFonts w:ascii="Cambria" w:hAnsi="Cambria" w:cs="Times New Roman"/>
        </w:rPr>
        <w:t xml:space="preserve">V. I. Lenin, «Imperialism, the highest stage of capitalism. </w:t>
      </w:r>
      <w:r w:rsidRPr="00DE7C6E">
        <w:rPr>
          <w:rFonts w:ascii="Cambria" w:hAnsi="Cambria" w:cs="Times New Roman"/>
          <w:lang w:val="es-PE"/>
        </w:rPr>
        <w:t xml:space="preserve">A popular outline», en </w:t>
      </w:r>
      <w:r w:rsidRPr="00DE7C6E">
        <w:rPr>
          <w:rFonts w:ascii="Cambria" w:hAnsi="Cambria" w:cs="Times New Roman"/>
          <w:i/>
          <w:iCs/>
          <w:lang w:val="es-PE"/>
        </w:rPr>
        <w:t>V. I. Lenin Collected Works. December 1915 - July 1916</w:t>
      </w:r>
      <w:r w:rsidRPr="00DE7C6E">
        <w:rPr>
          <w:rFonts w:ascii="Cambria" w:hAnsi="Cambria" w:cs="Times New Roman"/>
          <w:lang w:val="es-PE"/>
        </w:rPr>
        <w:t xml:space="preserve">, vol. 22 (Moscow: Progress Publishers, 1964), 185-304; Aníbal Quijano, «Imperialismo, clases sociales y estado en el Perú: 1985-1930», en </w:t>
      </w:r>
      <w:r w:rsidRPr="00DE7C6E">
        <w:rPr>
          <w:rFonts w:ascii="Cambria" w:hAnsi="Cambria" w:cs="Times New Roman"/>
          <w:i/>
          <w:iCs/>
          <w:lang w:val="es-PE"/>
        </w:rPr>
        <w:t>Clases sociales y crisis política en América Latina: Seminario de Oaxaca</w:t>
      </w:r>
      <w:r w:rsidRPr="00DE7C6E">
        <w:rPr>
          <w:rFonts w:ascii="Cambria" w:hAnsi="Cambria" w:cs="Times New Roman"/>
          <w:lang w:val="es-PE"/>
        </w:rPr>
        <w:t xml:space="preserve">, ed. </w:t>
      </w:r>
      <w:r w:rsidRPr="00DE7C6E">
        <w:rPr>
          <w:rFonts w:ascii="Cambria" w:hAnsi="Cambria" w:cs="Times New Roman"/>
        </w:rPr>
        <w:t xml:space="preserve">Raúl Benítez Zenteno, Quinta (México, MX: Siglo </w:t>
      </w:r>
      <w:proofErr w:type="spellStart"/>
      <w:r w:rsidRPr="00DE7C6E">
        <w:rPr>
          <w:rFonts w:ascii="Cambria" w:hAnsi="Cambria" w:cs="Times New Roman"/>
        </w:rPr>
        <w:t>Veintiuno</w:t>
      </w:r>
      <w:proofErr w:type="spellEnd"/>
      <w:r w:rsidRPr="00DE7C6E">
        <w:rPr>
          <w:rFonts w:ascii="Cambria" w:hAnsi="Cambria" w:cs="Times New Roman"/>
        </w:rPr>
        <w:t>, 1988), 113-50.</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0C49C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6787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04CA"/>
    <w:rsid w:val="00094024"/>
    <w:rsid w:val="00146F7F"/>
    <w:rsid w:val="005004CA"/>
    <w:rsid w:val="00843B1A"/>
    <w:rsid w:val="00975D07"/>
    <w:rsid w:val="00990AB5"/>
    <w:rsid w:val="00994DF9"/>
    <w:rsid w:val="00A71A4D"/>
    <w:rsid w:val="00C05167"/>
    <w:rsid w:val="00DA5D81"/>
    <w:rsid w:val="00DE7C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D73D"/>
  <w15:docId w15:val="{F9135A66-69A4-42D9-AEF2-AFEFECFB7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atlasti.com/a7d98465-1159-40a2-ba0f-b559f0559f0b/documents/5c1c10ba-0d70-4b0a-9db6-14a171a2f1da/range/1307-18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892</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2</cp:revision>
  <dcterms:created xsi:type="dcterms:W3CDTF">2025-01-03T21:10:00Z</dcterms:created>
  <dcterms:modified xsi:type="dcterms:W3CDTF">2025-01-03T22:38:00Z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id="dnDU5w6r"/&gt;&lt;style id="http://www.zotero.org/styles/chicago-fullnote-bibliography" locale="es-ES" hasBibliography="1" bibliographyStyleHasBeenSet="0"/&gt;&lt;prefs&gt;&lt;pref name="fieldType" value="Field"/&gt;</vt:lpwstr>
  </property>
  <property fmtid="{D5CDD505-2E9C-101B-9397-08002B2CF9AE}" pid="3" name="ZOTERO_PREF_2">
    <vt:lpwstr>&lt;pref name="noteType" value="1"/&gt;&lt;/prefs&gt;&lt;/data&gt;</vt:lpwstr>
  </property>
</Properties>
</file>