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E17B9" w14:textId="52BF4ED3" w:rsidR="00F830E2" w:rsidRPr="00F830E2" w:rsidRDefault="00F830E2" w:rsidP="00F830E2">
      <w:pPr>
        <w:spacing w:after="0"/>
        <w:ind w:hanging="90"/>
        <w:jc w:val="center"/>
        <w:rPr>
          <w:rFonts w:ascii="Times New Roman" w:eastAsia="Times New Roman" w:hAnsi="Times New Roman" w:cs="Times New Roman"/>
          <w:lang w:val="es-PE" w:eastAsia="es-PE"/>
        </w:rPr>
      </w:pPr>
      <w:r w:rsidRPr="00F830E2">
        <w:rPr>
          <w:rFonts w:ascii="Times New Roman" w:eastAsia="Times New Roman" w:hAnsi="Times New Roman" w:cs="Times New Roman"/>
          <w:lang w:eastAsia="es-PE"/>
        </w:rPr>
        <w:t>Boyte, Harry. 2017. “Educating the Citizen Professional: Higher Education and Democracy’s Future.”</w:t>
      </w:r>
      <w:r w:rsidRPr="00F830E2">
        <w:t xml:space="preserve"> </w:t>
      </w:r>
      <w:r w:rsidRPr="00F830E2">
        <w:rPr>
          <w:rFonts w:ascii="Times New Roman" w:eastAsia="Times New Roman" w:hAnsi="Times New Roman" w:cs="Times New Roman"/>
          <w:lang w:eastAsia="es-PE"/>
        </w:rPr>
        <w:t>2017 Kamm Lecture</w:t>
      </w:r>
      <w:r>
        <w:rPr>
          <w:rFonts w:ascii="Times New Roman" w:eastAsia="Times New Roman" w:hAnsi="Times New Roman" w:cs="Times New Roman"/>
          <w:lang w:eastAsia="es-PE"/>
        </w:rPr>
        <w:t>.</w:t>
      </w:r>
      <w:r w:rsidRPr="00F830E2">
        <w:rPr>
          <w:rFonts w:ascii="Times New Roman" w:eastAsia="Times New Roman" w:hAnsi="Times New Roman" w:cs="Times New Roman"/>
          <w:lang w:eastAsia="es-PE"/>
        </w:rPr>
        <w:t xml:space="preserve"> </w:t>
      </w:r>
      <w:r w:rsidRPr="00F830E2">
        <w:rPr>
          <w:rFonts w:ascii="Times New Roman" w:eastAsia="Times New Roman" w:hAnsi="Times New Roman" w:cs="Times New Roman"/>
          <w:lang w:val="es-PE" w:eastAsia="es-PE"/>
        </w:rPr>
        <w:t xml:space="preserve">OK: Oklahoma </w:t>
      </w:r>
      <w:proofErr w:type="spellStart"/>
      <w:r w:rsidRPr="00F830E2">
        <w:rPr>
          <w:rFonts w:ascii="Times New Roman" w:eastAsia="Times New Roman" w:hAnsi="Times New Roman" w:cs="Times New Roman"/>
          <w:lang w:val="es-PE" w:eastAsia="es-PE"/>
        </w:rPr>
        <w:t>State</w:t>
      </w:r>
      <w:proofErr w:type="spellEnd"/>
      <w:r w:rsidRPr="00F830E2">
        <w:rPr>
          <w:rFonts w:ascii="Times New Roman" w:eastAsia="Times New Roman" w:hAnsi="Times New Roman" w:cs="Times New Roman"/>
          <w:lang w:val="es-PE" w:eastAsia="es-PE"/>
        </w:rPr>
        <w:t xml:space="preserve"> </w:t>
      </w:r>
      <w:proofErr w:type="spellStart"/>
      <w:r w:rsidRPr="00F830E2">
        <w:rPr>
          <w:rFonts w:ascii="Times New Roman" w:eastAsia="Times New Roman" w:hAnsi="Times New Roman" w:cs="Times New Roman"/>
          <w:lang w:val="es-PE" w:eastAsia="es-PE"/>
        </w:rPr>
        <w:t>University</w:t>
      </w:r>
      <w:proofErr w:type="spellEnd"/>
      <w:r w:rsidRPr="00F830E2">
        <w:rPr>
          <w:rFonts w:ascii="Times New Roman" w:eastAsia="Times New Roman" w:hAnsi="Times New Roman" w:cs="Times New Roman"/>
          <w:lang w:val="es-PE" w:eastAsia="es-PE"/>
        </w:rPr>
        <w:t>.</w:t>
      </w:r>
    </w:p>
    <w:p w14:paraId="4E1471F0" w14:textId="09A69FB4" w:rsidR="00F830E2" w:rsidRPr="00F830E2" w:rsidRDefault="00F830E2" w:rsidP="00F830E2">
      <w:pPr>
        <w:pStyle w:val="FirstParagraph"/>
        <w:spacing w:line="480" w:lineRule="auto"/>
        <w:jc w:val="center"/>
        <w:rPr>
          <w:rFonts w:ascii="Times New Roman" w:hAnsi="Times New Roman" w:cs="Times New Roman"/>
          <w:i/>
          <w:iCs/>
        </w:rPr>
      </w:pPr>
      <w:r w:rsidRPr="00F830E2">
        <w:rPr>
          <w:rFonts w:ascii="Times New Roman" w:hAnsi="Times New Roman" w:cs="Times New Roman"/>
          <w:i/>
          <w:iCs/>
        </w:rPr>
        <w:t>Summary</w:t>
      </w:r>
    </w:p>
    <w:p w14:paraId="4261C39F" w14:textId="116E4331" w:rsidR="00504E55" w:rsidRPr="00F830E2" w:rsidRDefault="00000000" w:rsidP="00F830E2">
      <w:pPr>
        <w:pStyle w:val="FirstParagraph"/>
        <w:spacing w:line="480" w:lineRule="auto"/>
        <w:jc w:val="both"/>
        <w:rPr>
          <w:rFonts w:ascii="Times New Roman" w:hAnsi="Times New Roman" w:cs="Times New Roman"/>
        </w:rPr>
      </w:pPr>
      <w:r w:rsidRPr="00F830E2">
        <w:rPr>
          <w:rFonts w:ascii="Times New Roman" w:hAnsi="Times New Roman" w:cs="Times New Roman"/>
        </w:rPr>
        <w:t xml:space="preserve">Boyte stated that political conflict and social fragmentation trends toward </w:t>
      </w:r>
      <w:proofErr w:type="gramStart"/>
      <w:r w:rsidRPr="00F830E2">
        <w:rPr>
          <w:rFonts w:ascii="Times New Roman" w:hAnsi="Times New Roman" w:cs="Times New Roman"/>
        </w:rPr>
        <w:t>polarization,</w:t>
      </w:r>
      <w:proofErr w:type="gramEnd"/>
      <w:r w:rsidRPr="00F830E2">
        <w:rPr>
          <w:rFonts w:ascii="Times New Roman" w:hAnsi="Times New Roman" w:cs="Times New Roman"/>
        </w:rPr>
        <w:t xml:space="preserve"> can be reversed by taking the leadership to mobilize the tremendous opportunities, resources and responsibilities of colleges and universities toward the effort of building citizen professionalism, distinctive from the disciplinary professionalism approach nurtured by liberal education.</w:t>
      </w:r>
    </w:p>
    <w:p w14:paraId="3B9A837A"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By a comparison between “heart” and “hand”, as well as “head”, Boyte attempted to give examples of their holistic integration in examples from Oklahoma and OSU.</w:t>
      </w:r>
    </w:p>
    <w:p w14:paraId="31B2BB8F"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Boyte’s second objective pursued in this article was oriented to describe the technocratic feedback mechanisms of social fragmentation and polarization, that challenge the undertaking intellectual leadership in “bringing our nation back to the great wells of democracy”.</w:t>
      </w:r>
    </w:p>
    <w:p w14:paraId="30D2276E"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Full of patriotism, the democratic ideal superiority of the American Dream appears as its general wealth, relying on the incorporation capacity of its political regime. The asymmetries of power, inequalities, social fragmentation, political conflict, and polarization present concretely in social life, are mediated by the democratic regime, those forces and its trend looks very different under de-democratization processes. In which conditions, the approach of citizen professionalism would present higher challenges.</w:t>
      </w:r>
    </w:p>
    <w:p w14:paraId="093F6F92"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 xml:space="preserve">It was a merit of the author to target the contradictory dynamic of the technocratic approach. As well as the land grants were “deeply involved in the life of communities and the society in ways that build civic agency, collective capacities for public action across </w:t>
      </w:r>
      <w:r w:rsidRPr="00F830E2">
        <w:rPr>
          <w:rFonts w:ascii="Times New Roman" w:hAnsi="Times New Roman" w:cs="Times New Roman"/>
        </w:rPr>
        <w:lastRenderedPageBreak/>
        <w:t>lines of difference”, mainly during the civil rights movement, recognizing the negro made of U.S. nation. The response of the political system was the selective and strategic incorporation of marginalized populations to the citizen status delineated by the vestiges of a color line and its graduation, relabeled today as whiteness:</w:t>
      </w:r>
    </w:p>
    <w:p w14:paraId="61A7E7E3"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“Land grants and the extension service also drew on New Deal programs like the Federal Writers Project and the Treasury Post Office Mural Project, which affirmed the dignity and intelligence of everyday citizens, the value of work, and, sometimes, the struggle for racial, economic and social justice.”</w:t>
      </w:r>
    </w:p>
    <w:p w14:paraId="0177E3FC"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movement of citizenship incorporation into the political community of the U.S. as a nation, required a reconciliation with the marginalized population, the movement of the recognition of their human dignity by its recognition as citizens of the same rights and duties.</w:t>
      </w:r>
    </w:p>
    <w:p w14:paraId="6F71D8F7"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As the author cited: the “belief in democracy […] derived from [the] “deep feeling that the simple, the ‘humble’ peoples of the earth are those in whom primitive impulses of friendly affection are the least spoiled, the most spontaneous.”</w:t>
      </w:r>
    </w:p>
    <w:p w14:paraId="7D9D7231"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incorporation of the plebe in the political community involved its em-beauty or romantic relation with the citizens body of the “nation” as precisely delimited by the borders of the political community and not by the territorial limits of the political regime. So, to avoid civil war, the democratic feeling of affection should be broad enough to avoid political conflict and fragmentation by democratic incorporation.</w:t>
      </w:r>
    </w:p>
    <w:p w14:paraId="1C32ADED"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In the same direction, the total tolerance as a democratic ideal also present in Tocqueville, appears a a condition for a democratic building of knowledge.</w:t>
      </w:r>
    </w:p>
    <w:p w14:paraId="5F4714C5"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lastRenderedPageBreak/>
        <w:t>“[A]ll knowledge – “academic” no less than “practical” – is social and cooperative, the product of an interplay of experience, testing and experiment, observation, reflection, and conversation. All have the capacity to participate in knowledge-creation.”</w:t>
      </w:r>
    </w:p>
    <w:p w14:paraId="44F4A1D5"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As if the division of labor historically wouldn’t created huge asymmetries on literacy and access to upper education which defines their position of enunciation and the magnitude in which their “voices” are heard in the democratic doing of knowledge, if not measured.</w:t>
      </w:r>
    </w:p>
    <w:p w14:paraId="77F1412A"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Boyte also stated, “[a] broad movement of “scientific democrats” who saw science and its fields as sites for values and practices like cooperative inquiry and testing ideas in practice, relevant for all members of democratic society.”</w:t>
      </w:r>
    </w:p>
    <w:p w14:paraId="7D5DF1D3"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utilitarianism of Dewey looks for a positive sum game, in which the win-to-win outcome results from the democratization or civic turn toward the general wealth of society, which is assimilated in regard of its fitness to a normative definition of society, as mainly a cooperative rather than competitive or conflictive result of collective action of interested individuals. The coordination of individual interests should result in the optimal outcome regard to the general wealth. If it is necessary, the optimum result can be reached by the corrective effects of institutional change. So the winners compensate the losers disadvantage in the distribution of the general wealth of a society.</w:t>
      </w:r>
    </w:p>
    <w:p w14:paraId="18131860"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necessity of being, of human dignity, relays obsessively in the condition of democratic incorporation as a requirement for being recognized as an individuality that belong to democratic living, and in that manner is treated as a human dignity bearer:</w:t>
      </w:r>
    </w:p>
    <w:p w14:paraId="2F9AE3EE"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 xml:space="preserve">“Smith believed that extension work was far richer than problem solving. “In ideal extension work, science and art meet life and practice.” She argued eloquently that “it is not </w:t>
      </w:r>
      <w:r w:rsidRPr="00F830E2">
        <w:rPr>
          <w:rFonts w:ascii="Times New Roman" w:hAnsi="Times New Roman" w:cs="Times New Roman"/>
        </w:rPr>
        <w:lastRenderedPageBreak/>
        <w:t>enough for people to have food shelter, and clothing…they also aspire to find appreciation, respect for individuality and human dignity, affection, ideals, and opportunities…the satisfactions that belong to democratic living.”</w:t>
      </w:r>
    </w:p>
    <w:p w14:paraId="6426FF1F"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author third goal in this article was to develop the definitional attributes of citizen professionalism.</w:t>
      </w:r>
    </w:p>
    <w:p w14:paraId="4716240C"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recognition of the ethics of knowledge is another merit of the author: “Scholars [are] citizens, engaged with others in creating [our] worlds…accountable for the actual results of their thoughts and not just the ideas themselves.” As, What became first in theory, becomes later in reality.</w:t>
      </w:r>
    </w:p>
    <w:p w14:paraId="3771CDC1"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 citizen professional’s public work is defined considering a tridimensional approach:</w:t>
      </w:r>
    </w:p>
    <w:p w14:paraId="23EF4672"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“Public work, sustained effort by a mix of people who create something, material or culture, of lasting civic value, can be explored through three dimensions of “public”: work for public purposes; work in public; and work by “publics.”</w:t>
      </w:r>
    </w:p>
    <w:p w14:paraId="2D6E5B62"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One of the most important constrains for the building of citizen professionalism is the structural limits imposed by power relations. As the author quoted:</w:t>
      </w:r>
    </w:p>
    <w:p w14:paraId="7DB47B84"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“Virtually all began their careers wanting to have public impact. Almost all felt frustrated by the deepening culture of detachment whose norms hold “value neutrality” to be constitutive of scholarly excellence”. “Many, widely seen as leaders in their fields, told me that they would not be able even to discuss their discontents given the strong biases of research cultures of disciplines against extensive public engagement.”</w:t>
      </w:r>
    </w:p>
    <w:p w14:paraId="0FF36AA5"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lastRenderedPageBreak/>
        <w:t>Because knowledge is not free from power. Will of truth is will of power. If knowledge is power then its use isn’t unintended, neither built from scratch but from the force of violence for appropriation and reproduction. If the reproduction of certain human kind depends on the instrumentality of reason and knowledge for dominance, then the neutrality as an ideal found its limits as purposefully directed toward an uninterested will of truth, in the power relations as interested movements of knowledge toward dominance as dependent on the conservation of certain position in the knowledge hierarchies overlapping with technocracy, private bureaucracies, public governance, and also democratic governability.</w:t>
      </w:r>
    </w:p>
    <w:p w14:paraId="084F00CE"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Another limit for the building of citizen professionalism is the inexperience of the academic researchers on the power field in which they operate at the community level.</w:t>
      </w:r>
    </w:p>
    <w:p w14:paraId="59DE8F8A"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I think, this assumption holds for independent scholars, but rarely for institutionally positioned researchers. Researchers are embedded in social networks with less distance toward the decision makers, than the community leaders or political activists. The political resources are much more accessible for the academic researchers with institutional memberships than for the communities organized.</w:t>
      </w:r>
    </w:p>
    <w:sectPr w:rsidR="00504E55" w:rsidRPr="00F830E2">
      <w:headerReference w:type="default" r:id="rId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6DFB6" w14:textId="77777777" w:rsidR="003821AA" w:rsidRDefault="003821AA">
      <w:pPr>
        <w:spacing w:after="0"/>
      </w:pPr>
      <w:r>
        <w:separator/>
      </w:r>
    </w:p>
  </w:endnote>
  <w:endnote w:type="continuationSeparator" w:id="0">
    <w:p w14:paraId="23CB3DD6" w14:textId="77777777" w:rsidR="003821AA" w:rsidRDefault="003821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4C0B1C" w14:textId="77777777" w:rsidR="003821AA" w:rsidRDefault="003821AA">
      <w:r>
        <w:separator/>
      </w:r>
    </w:p>
  </w:footnote>
  <w:footnote w:type="continuationSeparator" w:id="0">
    <w:p w14:paraId="503F0ABF" w14:textId="77777777" w:rsidR="003821AA" w:rsidRDefault="00382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0DB38" w14:textId="6349ACE4" w:rsidR="00F830E2" w:rsidRPr="00F830E2" w:rsidRDefault="00F830E2">
    <w:pPr>
      <w:pStyle w:val="Encabezado"/>
      <w:rPr>
        <w:sz w:val="22"/>
        <w:szCs w:val="22"/>
      </w:rPr>
    </w:pPr>
    <w:r w:rsidRPr="00F830E2">
      <w:rPr>
        <w:sz w:val="22"/>
        <w:szCs w:val="22"/>
      </w:rPr>
      <w:t>INT201HT – Fall 2024</w:t>
    </w:r>
    <w:r w:rsidRPr="00F830E2">
      <w:rPr>
        <w:sz w:val="22"/>
        <w:szCs w:val="22"/>
      </w:rPr>
      <w:tab/>
    </w:r>
    <w:r w:rsidRPr="00F830E2">
      <w:rPr>
        <w:sz w:val="22"/>
        <w:szCs w:val="22"/>
      </w:rPr>
      <w:tab/>
      <w:t>October 25</w:t>
    </w:r>
    <w:r w:rsidRPr="00F830E2">
      <w:rPr>
        <w:sz w:val="22"/>
        <w:szCs w:val="22"/>
        <w:vertAlign w:val="superscript"/>
      </w:rPr>
      <w:t>th</w:t>
    </w:r>
    <w:r w:rsidRPr="00F830E2">
      <w:rPr>
        <w:sz w:val="22"/>
        <w:szCs w:val="22"/>
      </w:rPr>
      <w:t xml:space="preserve"> presentation</w:t>
    </w:r>
  </w:p>
  <w:p w14:paraId="77A0EA0B" w14:textId="09448890" w:rsidR="00F830E2" w:rsidRPr="00F830E2" w:rsidRDefault="00F830E2" w:rsidP="00F830E2">
    <w:pPr>
      <w:pStyle w:val="Encabezado"/>
      <w:spacing w:after="240"/>
      <w:rPr>
        <w:sz w:val="22"/>
        <w:szCs w:val="22"/>
        <w:lang w:val="es-PE"/>
      </w:rPr>
    </w:pPr>
    <w:r w:rsidRPr="00F830E2">
      <w:rPr>
        <w:sz w:val="22"/>
        <w:szCs w:val="22"/>
        <w:lang w:val="es-PE"/>
      </w:rPr>
      <w:t>Prof. Susan Derwin</w:t>
    </w:r>
    <w:r w:rsidRPr="00F830E2">
      <w:rPr>
        <w:sz w:val="22"/>
        <w:szCs w:val="22"/>
        <w:lang w:val="es-PE"/>
      </w:rPr>
      <w:tab/>
    </w:r>
    <w:r w:rsidRPr="00F830E2">
      <w:rPr>
        <w:sz w:val="22"/>
        <w:szCs w:val="22"/>
        <w:lang w:val="es-PE"/>
      </w:rPr>
      <w:tab/>
      <w:t>José Manuel Mejía Villena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CA6D4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2645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55"/>
    <w:rsid w:val="001817D3"/>
    <w:rsid w:val="001C7CA9"/>
    <w:rsid w:val="003821AA"/>
    <w:rsid w:val="00504E55"/>
    <w:rsid w:val="00F830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7A90"/>
  <w15:docId w15:val="{996B757C-FDC2-4F4B-AA52-4C577537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830E2"/>
    <w:pPr>
      <w:tabs>
        <w:tab w:val="center" w:pos="4252"/>
        <w:tab w:val="right" w:pos="8504"/>
      </w:tabs>
      <w:spacing w:after="0"/>
    </w:pPr>
  </w:style>
  <w:style w:type="character" w:customStyle="1" w:styleId="EncabezadoCar">
    <w:name w:val="Encabezado Car"/>
    <w:basedOn w:val="Fuentedeprrafopredeter"/>
    <w:link w:val="Encabezado"/>
    <w:rsid w:val="00F830E2"/>
  </w:style>
  <w:style w:type="paragraph" w:styleId="Piedepgina">
    <w:name w:val="footer"/>
    <w:basedOn w:val="Normal"/>
    <w:link w:val="PiedepginaCar"/>
    <w:rsid w:val="00F830E2"/>
    <w:pPr>
      <w:tabs>
        <w:tab w:val="center" w:pos="4252"/>
        <w:tab w:val="right" w:pos="8504"/>
      </w:tabs>
      <w:spacing w:after="0"/>
    </w:pPr>
  </w:style>
  <w:style w:type="character" w:customStyle="1" w:styleId="PiedepginaCar">
    <w:name w:val="Pie de página Car"/>
    <w:basedOn w:val="Fuentedeprrafopredeter"/>
    <w:link w:val="Piedepgina"/>
    <w:rsid w:val="00F83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768776">
      <w:bodyDiv w:val="1"/>
      <w:marLeft w:val="0"/>
      <w:marRight w:val="0"/>
      <w:marTop w:val="0"/>
      <w:marBottom w:val="0"/>
      <w:divBdr>
        <w:top w:val="none" w:sz="0" w:space="0" w:color="auto"/>
        <w:left w:val="none" w:sz="0" w:space="0" w:color="auto"/>
        <w:bottom w:val="none" w:sz="0" w:space="0" w:color="auto"/>
        <w:right w:val="none" w:sz="0" w:space="0" w:color="auto"/>
      </w:divBdr>
      <w:divsChild>
        <w:div w:id="1904442325">
          <w:marLeft w:val="480"/>
          <w:marRight w:val="0"/>
          <w:marTop w:val="0"/>
          <w:marBottom w:val="0"/>
          <w:divBdr>
            <w:top w:val="none" w:sz="0" w:space="0" w:color="auto"/>
            <w:left w:val="none" w:sz="0" w:space="0" w:color="auto"/>
            <w:bottom w:val="none" w:sz="0" w:space="0" w:color="auto"/>
            <w:right w:val="none" w:sz="0" w:space="0" w:color="auto"/>
          </w:divBdr>
          <w:divsChild>
            <w:div w:id="4117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557">
      <w:bodyDiv w:val="1"/>
      <w:marLeft w:val="0"/>
      <w:marRight w:val="0"/>
      <w:marTop w:val="0"/>
      <w:marBottom w:val="0"/>
      <w:divBdr>
        <w:top w:val="none" w:sz="0" w:space="0" w:color="auto"/>
        <w:left w:val="none" w:sz="0" w:space="0" w:color="auto"/>
        <w:bottom w:val="none" w:sz="0" w:space="0" w:color="auto"/>
        <w:right w:val="none" w:sz="0" w:space="0" w:color="auto"/>
      </w:divBdr>
      <w:divsChild>
        <w:div w:id="1433429681">
          <w:marLeft w:val="480"/>
          <w:marRight w:val="0"/>
          <w:marTop w:val="0"/>
          <w:marBottom w:val="0"/>
          <w:divBdr>
            <w:top w:val="none" w:sz="0" w:space="0" w:color="auto"/>
            <w:left w:val="none" w:sz="0" w:space="0" w:color="auto"/>
            <w:bottom w:val="none" w:sz="0" w:space="0" w:color="auto"/>
            <w:right w:val="none" w:sz="0" w:space="0" w:color="auto"/>
          </w:divBdr>
          <w:divsChild>
            <w:div w:id="24977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63097">
      <w:bodyDiv w:val="1"/>
      <w:marLeft w:val="0"/>
      <w:marRight w:val="0"/>
      <w:marTop w:val="0"/>
      <w:marBottom w:val="0"/>
      <w:divBdr>
        <w:top w:val="none" w:sz="0" w:space="0" w:color="auto"/>
        <w:left w:val="none" w:sz="0" w:space="0" w:color="auto"/>
        <w:bottom w:val="none" w:sz="0" w:space="0" w:color="auto"/>
        <w:right w:val="none" w:sz="0" w:space="0" w:color="auto"/>
      </w:divBdr>
      <w:divsChild>
        <w:div w:id="906455737">
          <w:marLeft w:val="480"/>
          <w:marRight w:val="0"/>
          <w:marTop w:val="0"/>
          <w:marBottom w:val="0"/>
          <w:divBdr>
            <w:top w:val="none" w:sz="0" w:space="0" w:color="auto"/>
            <w:left w:val="none" w:sz="0" w:space="0" w:color="auto"/>
            <w:bottom w:val="none" w:sz="0" w:space="0" w:color="auto"/>
            <w:right w:val="none" w:sz="0" w:space="0" w:color="auto"/>
          </w:divBdr>
          <w:divsChild>
            <w:div w:id="8191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1259</Words>
  <Characters>6927</Characters>
  <Application>Microsoft Office Word</Application>
  <DocSecurity>0</DocSecurity>
  <Lines>57</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2</cp:revision>
  <dcterms:created xsi:type="dcterms:W3CDTF">2024-10-25T13:44:00Z</dcterms:created>
  <dcterms:modified xsi:type="dcterms:W3CDTF">2024-10-25T13:44:00Z</dcterms:modified>
</cp:coreProperties>
</file>