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Why</w:t>
      </w:r>
      <w:r>
        <w:t xml:space="preserve"> </w:t>
      </w:r>
      <w:r>
        <w:t xml:space="preserve">the</w:t>
      </w:r>
      <w:r>
        <w:t xml:space="preserve"> </w:t>
      </w:r>
      <w:r>
        <w:t xml:space="preserve">West</w:t>
      </w:r>
      <w:r>
        <w:t xml:space="preserve"> </w:t>
      </w:r>
      <w:r>
        <w:t xml:space="preserve">can't</w:t>
      </w:r>
      <w:r>
        <w:t xml:space="preserve"> </w:t>
      </w:r>
      <w:r>
        <w:t xml:space="preserve">win:</w:t>
      </w:r>
      <w:r>
        <w:t xml:space="preserve"> </w:t>
      </w:r>
      <w:r>
        <w:t xml:space="preserve">from</w:t>
      </w:r>
      <w:r>
        <w:t xml:space="preserve"> </w:t>
      </w:r>
      <w:r>
        <w:t xml:space="preserve">Bretton</w:t>
      </w:r>
      <w:r>
        <w:t xml:space="preserve"> </w:t>
      </w:r>
      <w:r>
        <w:t xml:space="preserve">Woods</w:t>
      </w:r>
      <w:r>
        <w:t xml:space="preserve"> </w:t>
      </w:r>
      <w:r>
        <w:t xml:space="preserve">to</w:t>
      </w:r>
      <w:r>
        <w:t xml:space="preserve"> </w:t>
      </w:r>
      <w:r>
        <w:t xml:space="preserve">a</w:t>
      </w:r>
      <w:r>
        <w:t xml:space="preserve"> </w:t>
      </w:r>
      <w:r>
        <w:t xml:space="preserve">multipolar</w:t>
      </w:r>
      <w:r>
        <w:t xml:space="preserve"> </w:t>
      </w:r>
      <w:r>
        <w:t xml:space="preserve">world</w:t>
      </w:r>
    </w:p>
    <w:p>
      <w:pPr>
        <w:pStyle w:val="Author"/>
      </w:pPr>
      <w:r>
        <w:t xml:space="preserve">Lama,</w:t>
      </w:r>
      <w:r>
        <w:t xml:space="preserve"> </w:t>
      </w:r>
      <w:r>
        <w:t xml:space="preserve">Fadi</w:t>
      </w:r>
    </w:p>
    <w:p>
      <w:pPr>
        <w:pStyle w:val="Date"/>
      </w:pPr>
      <w:r>
        <w:t xml:space="preserve">2023-01-01</w:t>
      </w:r>
    </w:p>
    <w:p>
      <w:pPr>
        <w:pStyle w:val="FirstParagraph"/>
      </w:pPr>
      <w:r>
        <w:t xml:space="preserve">Lama, Fadi. 2023.</w:t>
      </w:r>
      <w:r>
        <w:t xml:space="preserve"> </w:t>
      </w:r>
      <w:r>
        <w:rPr>
          <w:iCs/>
          <w:i/>
        </w:rPr>
        <w:t xml:space="preserve">Why the West Can’t Win: From Bretton Woods to a Multipolar World</w:t>
      </w:r>
      <w:r>
        <w:t xml:space="preserve">. Atlanta, GA: Clarity Press.</w:t>
      </w:r>
      <w:r>
        <w:br/>
      </w:r>
      <w:hyperlink r:id="rId20">
        <w:r>
          <w:rPr>
            <w:rStyle w:val="Hyperlink"/>
          </w:rPr>
          <w:t xml:space="preserve">online</w:t>
        </w:r>
      </w:hyperlink>
      <w:r>
        <w:t xml:space="preserve"> </w:t>
      </w:r>
      <w:hyperlink r:id="rId21">
        <w:r>
          <w:rPr>
            <w:rStyle w:val="Hyperlink"/>
          </w:rPr>
          <w:t xml:space="preserve">local</w:t>
        </w:r>
      </w:hyperlink>
      <w:r>
        <w:t xml:space="preserve"> </w:t>
      </w:r>
      <w:hyperlink r:id="rId22">
        <w:r>
          <w:rPr>
            <w:rStyle w:val="Hyperlink"/>
          </w:rPr>
          <w:t xml:space="preserve">pdf</w:t>
        </w:r>
      </w:hyperlink>
    </w:p>
    <w:bookmarkStart w:id="23" w:name="index"/>
    <w:p>
      <w:pPr>
        <w:pStyle w:val="Heading3"/>
      </w:pPr>
      <w:r>
        <w:t xml:space="preserve">Index</w:t>
      </w:r>
    </w:p>
    <w:p>
      <w:pPr>
        <w:pStyle w:val="FirstParagraph"/>
      </w:pPr>
      <w:r>
        <w:t xml:space="preserve">start-date:: 2023-01-01</w:t>
      </w:r>
      <w:r>
        <w:br/>
      </w:r>
      <w:r>
        <w:t xml:space="preserve">end-date::</w:t>
      </w:r>
      <w:r>
        <w:br/>
      </w:r>
      <w:r>
        <w:t xml:space="preserve">page-no:: xvii</w:t>
      </w:r>
    </w:p>
    <w:bookmarkEnd w:id="23"/>
    <w:bookmarkStart w:id="24" w:name="connections"/>
    <w:p>
      <w:pPr>
        <w:pStyle w:val="Heading3"/>
      </w:pPr>
      <w:r>
        <w:t xml:space="preserve">Connections</w:t>
      </w:r>
    </w:p>
    <w:p>
      <w:pPr>
        <w:pStyle w:val="FirstParagraph"/>
      </w:pPr>
      <w:r>
        <w:t xml:space="preserve">comment::</w:t>
      </w:r>
    </w:p>
    <w:bookmarkEnd w:id="24"/>
    <w:bookmarkStart w:id="25" w:name="note"/>
    <w:p>
      <w:pPr>
        <w:pStyle w:val="Heading3"/>
      </w:pPr>
      <w:r>
        <w:t xml:space="preserve">Note</w:t>
      </w:r>
    </w:p>
    <w:bookmarkEnd w:id="25"/>
    <w:bookmarkStart w:id="104" w:name="imported-on-2024-01-18-414-pm"/>
    <w:p>
      <w:pPr>
        <w:pStyle w:val="Heading3"/>
      </w:pPr>
      <w:r>
        <w:t xml:space="preserve">Imported on 2024-01-18 4:14 pm</w:t>
      </w:r>
    </w:p>
    <w:p>
      <w:pPr>
        <w:pStyle w:val="FirstParagraph"/>
      </w:pPr>
      <w:r>
        <w:drawing>
          <wp:inline>
            <wp:extent cx="228600" cy="228600"/>
            <wp:effectExtent b="0" l="0" r="0" t="0"/>
            <wp:docPr descr="" title="" id="27"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28"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Geopolitical upheaval has gripped the world since the collapse of the Soviet Union.</w:t>
      </w:r>
      <w:r>
        <w:t xml:space="preserve"> </w:t>
      </w:r>
      <w:hyperlink r:id="rId29">
        <w:r>
          <w:rPr>
            <w:rStyle w:val="Hyperlink"/>
          </w:rPr>
          <w:t xml:space="preserve">(p. xvii)</w:t>
        </w:r>
      </w:hyperlink>
    </w:p>
    <w:p>
      <w:pPr>
        <w:pStyle w:val="BodyText"/>
      </w:pPr>
      <w:r>
        <w:t xml:space="preserve">This interpretation of the escalation of geopolitical contention with an upward passed 1989, is contradictory with a period of nuclear war crisis in 1969 during the "Cuban missiles crisis.", for example.</w:t>
      </w:r>
    </w:p>
    <w:p>
      <w:pPr>
        <w:pStyle w:val="BodyText"/>
      </w:pPr>
      <w:r>
        <w:drawing>
          <wp:inline>
            <wp:extent cx="228600" cy="228600"/>
            <wp:effectExtent b="0" l="0" r="0" t="0"/>
            <wp:docPr descr="" title="" id="30"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31"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During the 1990s, the West’s geostrategic focus was on eliminating the potential for resurgence of Russia as a great power; dual political and economic approaches were adopted.</w:t>
      </w:r>
      <w:r>
        <w:t xml:space="preserve"> </w:t>
      </w:r>
      <w:hyperlink r:id="rId32">
        <w:r>
          <w:rPr>
            <w:rStyle w:val="Hyperlink"/>
          </w:rPr>
          <w:t xml:space="preserve">(p. xvii)</w:t>
        </w:r>
      </w:hyperlink>
    </w:p>
    <w:p>
      <w:pPr>
        <w:pStyle w:val="BodyText"/>
      </w:pPr>
      <w:r>
        <w:t xml:space="preserve">The political and economic measures taken by the West against Russia weren't militarized in the magnitude of the geopolitical contention developed until 1989.</w:t>
      </w:r>
    </w:p>
    <w:p>
      <w:pPr>
        <w:pStyle w:val="BodyText"/>
      </w:pPr>
      <w:r>
        <w:drawing>
          <wp:inline>
            <wp:extent cx="228600" cy="228600"/>
            <wp:effectExtent b="0" l="0" r="0" t="0"/>
            <wp:docPr descr="" title="" id="33"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34"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After having ‘fnished’ Russia, the focus turned to China as a potential challenger to Western global hegemony. Insofar as energy is the lifeline of nations, and China being energy defcient, it was thought that the ability to control global energy resources, sea lanes and choke points to China would prevent China from challenging Western global hegemony.</w:t>
      </w:r>
      <w:r>
        <w:t xml:space="preserve"> </w:t>
      </w:r>
      <w:hyperlink r:id="rId35">
        <w:r>
          <w:rPr>
            <w:rStyle w:val="Hyperlink"/>
          </w:rPr>
          <w:t xml:space="preserve">(p. xvii)</w:t>
        </w:r>
      </w:hyperlink>
    </w:p>
    <w:p>
      <w:pPr>
        <w:pStyle w:val="BodyText"/>
      </w:pPr>
      <w:r>
        <w:t xml:space="preserve">The monopolistic regime over the transportation infrastructure of energy-mining resources by West global hegemony was enough to prevent the effective rivalry of China and Russia until the end of the XX century and the first year of the XXI.</w:t>
      </w:r>
    </w:p>
    <w:p>
      <w:pPr>
        <w:pStyle w:val="BodyText"/>
      </w:pPr>
      <w:r>
        <w:drawing>
          <wp:inline>
            <wp:extent cx="228600" cy="228600"/>
            <wp:effectExtent b="0" l="0" r="0" t="0"/>
            <wp:docPr descr="" title="" id="36"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37"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This work analyses the geopolitical struggle since the fall of the USSR with a view to providing insight into its endgame. Geopolitical analysis necessitates an historic overview, an understanding of the fnancial systems established at the Bretton Woods conference that continue to dominate the global economy, and how these fnancial systems are used as a powerful geopolitical instrument.</w:t>
      </w:r>
      <w:r>
        <w:t xml:space="preserve"> </w:t>
      </w:r>
      <w:hyperlink r:id="rId38">
        <w:r>
          <w:rPr>
            <w:rStyle w:val="Hyperlink"/>
          </w:rPr>
          <w:t xml:space="preserve">(p. xviii)</w:t>
        </w:r>
      </w:hyperlink>
    </w:p>
    <w:p>
      <w:pPr>
        <w:pStyle w:val="BodyText"/>
      </w:pPr>
      <w:r>
        <w:t xml:space="preserve">The author states that West global hegemony after the fall of the USSR holds in the effective instrumentation of the financial system constituted with the Bretton Woods conference as a powerful geopolitical instrument.</w:t>
      </w:r>
    </w:p>
    <w:p>
      <w:pPr>
        <w:pStyle w:val="BodyText"/>
      </w:pPr>
      <w:r>
        <w:drawing>
          <wp:inline>
            <wp:extent cx="228600" cy="228600"/>
            <wp:effectExtent b="0" l="0" r="0" t="0"/>
            <wp:docPr descr="" title="" id="39"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40"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It also requires an economic analysis based on real goods production, global energy dynamics, and the alliances and strategies of key global players.</w:t>
      </w:r>
      <w:r>
        <w:t xml:space="preserve"> </w:t>
      </w:r>
      <w:hyperlink r:id="rId41">
        <w:r>
          <w:rPr>
            <w:rStyle w:val="Hyperlink"/>
          </w:rPr>
          <w:t xml:space="preserve">(p. xviii)</w:t>
        </w:r>
      </w:hyperlink>
    </w:p>
    <w:p>
      <w:pPr>
        <w:pStyle w:val="BodyText"/>
      </w:pPr>
      <w:r>
        <w:t xml:space="preserve">Hegemony also requires the enforcement of the monopolistic tendency of imperialist capital, which is highly concentrated.</w:t>
      </w:r>
    </w:p>
    <w:p>
      <w:pPr>
        <w:pStyle w:val="BodyText"/>
      </w:pPr>
      <w:r>
        <w:drawing>
          <wp:inline>
            <wp:extent cx="228600" cy="228600"/>
            <wp:effectExtent b="0" l="0" r="0" t="0"/>
            <wp:docPr descr="" title="" id="42"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43"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Western Europe and their outgrowths in North America, Australia, and New Zealand</w:t>
      </w:r>
      <w:r>
        <w:t xml:space="preserve"> </w:t>
      </w:r>
      <w:hyperlink r:id="rId44">
        <w:r>
          <w:rPr>
            <w:rStyle w:val="Hyperlink"/>
          </w:rPr>
          <w:t xml:space="preserve">(p. xviii)</w:t>
        </w:r>
      </w:hyperlink>
    </w:p>
    <w:p>
      <w:pPr>
        <w:pStyle w:val="BodyText"/>
      </w:pPr>
      <w:r>
        <w:t xml:space="preserve">Western Europe block</w:t>
      </w:r>
    </w:p>
    <w:p>
      <w:pPr>
        <w:pStyle w:val="BodyText"/>
      </w:pPr>
      <w:r>
        <w:drawing>
          <wp:inline>
            <wp:extent cx="228600" cy="228600"/>
            <wp:effectExtent b="0" l="0" r="0" t="0"/>
            <wp:docPr descr="" title="" id="45"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46"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Russia, Iran, and China, the sovereigntist opponents of Western hegemony, as well as the Global South</w:t>
      </w:r>
      <w:r>
        <w:t xml:space="preserve"> </w:t>
      </w:r>
      <w:hyperlink r:id="rId47">
        <w:r>
          <w:rPr>
            <w:rStyle w:val="Hyperlink"/>
          </w:rPr>
          <w:t xml:space="preserve">(p. xviii)</w:t>
        </w:r>
      </w:hyperlink>
    </w:p>
    <w:p>
      <w:pPr>
        <w:pStyle w:val="BodyText"/>
      </w:pPr>
      <w:r>
        <w:t xml:space="preserve">Challengers of Western hegemony</w:t>
      </w:r>
    </w:p>
    <w:p>
      <w:pPr>
        <w:pStyle w:val="BodyText"/>
      </w:pPr>
      <w:r>
        <w:drawing>
          <wp:inline>
            <wp:extent cx="228600" cy="228600"/>
            <wp:effectExtent b="0" l="0" r="0" t="0"/>
            <wp:docPr descr="" title="" id="48"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49"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As will be shown in this work, events in the three decades that followed the fall of the Soviet Union proved them only partially correct; it signaled the end of a millennium of history, dating back to the First Crusade. That millennium had been one of West European expansionism, plundering and oppression initially labeled Crusades when popes embodied political power, morphing into colonialism when papal powers diminished, to Free World when colonialism went out of fashion post-World War II, to the present ‘International Community’ after the collapse of the Soviet Union</w:t>
      </w:r>
      <w:r>
        <w:t xml:space="preserve"> </w:t>
      </w:r>
      <w:hyperlink r:id="rId50">
        <w:r>
          <w:rPr>
            <w:rStyle w:val="Hyperlink"/>
          </w:rPr>
          <w:t xml:space="preserve">(p. xviii)</w:t>
        </w:r>
      </w:hyperlink>
    </w:p>
    <w:p>
      <w:pPr>
        <w:pStyle w:val="BodyText"/>
      </w:pPr>
      <w:r>
        <w:t xml:space="preserve">The author also states that the end of a millennium of West European expansionism started with the First crusades.</w:t>
      </w:r>
    </w:p>
    <w:p>
      <w:pPr>
        <w:pStyle w:val="BodyText"/>
      </w:pPr>
      <w:r>
        <w:drawing>
          <wp:inline>
            <wp:extent cx="228600" cy="228600"/>
            <wp:effectExtent b="0" l="0" r="0" t="0"/>
            <wp:docPr descr="" title="" id="51"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52"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The current global geopolitical clash is in essence a struggle between the colonial powers wishing to preserve the Bretton Woods system that facilitates siphoning the wealth of nations and sovereign nations striving for independence and an end to a millennium of their oppression.</w:t>
      </w:r>
      <w:r>
        <w:t xml:space="preserve"> </w:t>
      </w:r>
      <w:hyperlink r:id="rId53">
        <w:r>
          <w:rPr>
            <w:rStyle w:val="Hyperlink"/>
          </w:rPr>
          <w:t xml:space="preserve">(p. xviii)</w:t>
        </w:r>
      </w:hyperlink>
    </w:p>
    <w:p>
      <w:pPr>
        <w:pStyle w:val="BodyText"/>
      </w:pPr>
      <w:r>
        <w:t xml:space="preserve">Considering that each imperialist state is under control of a fraction of the TCC, but also that there are elements of the TCC that aren't over the direct control of the colonial-imperialist but over the control of transnational organizations, and obviously corporations. The escalation of the geopolitical contention between the West colonial-imperialist states and its challengers had a critical point in some institutions of hegemony</w:t>
      </w:r>
    </w:p>
    <w:p>
      <w:pPr>
        <w:pStyle w:val="BodyText"/>
      </w:pPr>
      <w:r>
        <w:drawing>
          <wp:inline>
            <wp:extent cx="228600" cy="228600"/>
            <wp:effectExtent b="0" l="0" r="0" t="0"/>
            <wp:docPr descr="" title="" id="54"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55"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As is apparent from the fgures below, in the year 1500 prior to colonization, GDP and population distribution were in equilibrium, with 80% of the world’s population accounting for 80% of global GDP and 20% of its population accounting for 20% of global GDP.</w:t>
      </w:r>
      <w:r>
        <w:t xml:space="preserve"> </w:t>
      </w:r>
      <w:hyperlink r:id="rId56">
        <w:r>
          <w:rPr>
            <w:rStyle w:val="Hyperlink"/>
          </w:rPr>
          <w:t xml:space="preserve">(p. 1)</w:t>
        </w:r>
      </w:hyperlink>
    </w:p>
    <w:p>
      <w:pPr>
        <w:pStyle w:val="BodyText"/>
      </w:pPr>
      <w:r>
        <w:t xml:space="preserve">The author presents the distribution charts of historical worlds population separately but related with the percentage of GDP distributions.</w:t>
      </w:r>
    </w:p>
    <w:p>
      <w:pPr>
        <w:pStyle w:val="BodyText"/>
      </w:pPr>
      <w:r>
        <w:drawing>
          <wp:inline>
            <wp:extent cx="228600" cy="228600"/>
            <wp:effectExtent b="0" l="0" r="0" t="0"/>
            <wp:docPr descr="" title="" id="57"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58"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India and China, each accounting for about 25% of world population, enjoyed a corresponding 25% of global wealth generation.</w:t>
      </w:r>
      <w:r>
        <w:t xml:space="preserve"> </w:t>
      </w:r>
      <w:hyperlink r:id="rId59">
        <w:r>
          <w:rPr>
            <w:rStyle w:val="Hyperlink"/>
          </w:rPr>
          <w:t xml:space="preserve">(p. 2)</w:t>
        </w:r>
      </w:hyperlink>
    </w:p>
    <w:p>
      <w:pPr>
        <w:pStyle w:val="BodyText"/>
      </w:pPr>
      <w:r>
        <w:drawing>
          <wp:inline>
            <wp:extent cx="228600" cy="228600"/>
            <wp:effectExtent b="0" l="0" r="0" t="0"/>
            <wp:docPr descr="" title="" id="60"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61"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During WWII, at peak colonial power,5 the Bretton Woods conference ,5 established the fnancial and monetary architecture for the post-World War II era, a framework which has controlled the global economy for eight decades and proved more efective than colonial armies in extracting wealth from Global South nations.</w:t>
      </w:r>
      <w:r>
        <w:t xml:space="preserve"> </w:t>
      </w:r>
      <w:hyperlink r:id="rId62">
        <w:r>
          <w:rPr>
            <w:rStyle w:val="Hyperlink"/>
          </w:rPr>
          <w:t xml:space="preserve">(p. 2)</w:t>
        </w:r>
      </w:hyperlink>
    </w:p>
    <w:p>
      <w:pPr>
        <w:pStyle w:val="BodyText"/>
      </w:pPr>
      <w:r>
        <w:t xml:space="preserve">For the author, the Bretton Woods finantial institutions opperetely "more effective" than the colonial armies of pure militarism.</w:t>
      </w:r>
    </w:p>
    <w:p>
      <w:pPr>
        <w:pStyle w:val="BodyText"/>
      </w:pPr>
      <w:r>
        <w:drawing>
          <wp:inline>
            <wp:extent cx="228600" cy="228600"/>
            <wp:effectExtent b="0" l="0" r="0" t="0"/>
            <wp:docPr descr="" title="" id="63"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64"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How this statements could be discussed, contested or modified by the magnitude of militarism displayed by the colonial methods of dispossession and genocide for "original accumulation".?</w:t>
      </w:r>
    </w:p>
    <w:p>
      <w:pPr>
        <w:pStyle w:val="BodyText"/>
      </w:pPr>
      <w:r>
        <w:drawing>
          <wp:inline>
            <wp:extent cx="228600" cy="228600"/>
            <wp:effectExtent b="0" l="0" r="0" t="0"/>
            <wp:docPr descr="" title="" id="65"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66"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Post-World War II, decolonization was imposed by the U.S. on the major European colonialist countries, allowing it to tap into the resources and markets of their former colonies.</w:t>
      </w:r>
      <w:r>
        <w:t xml:space="preserve"> </w:t>
      </w:r>
      <w:hyperlink r:id="rId67">
        <w:r>
          <w:rPr>
            <w:rStyle w:val="Hyperlink"/>
          </w:rPr>
          <w:t xml:space="preserve">(p. 2)</w:t>
        </w:r>
      </w:hyperlink>
    </w:p>
    <w:p>
      <w:pPr>
        <w:pStyle w:val="BodyText"/>
      </w:pPr>
      <w:r>
        <w:t xml:space="preserve">This statesmen could be prone to dialogue with the interpretation of decolonization as a move favorable for the monopolistic tendency of US imperialism.</w:t>
      </w:r>
    </w:p>
    <w:p>
      <w:pPr>
        <w:pStyle w:val="BodyText"/>
      </w:pPr>
      <w:r>
        <w:drawing>
          <wp:inline>
            <wp:extent cx="228600" cy="228600"/>
            <wp:effectExtent b="0" l="0" r="0" t="0"/>
            <wp:docPr descr="" title="" id="68"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69"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Therefore, while China, North Korea, Cuba, Vietnam, and later the Islamic Republic in Iran, and even later Venezuela and Nicaragua, were able to pursue their own independent development models, most decolonized countries could not.</w:t>
      </w:r>
      <w:r>
        <w:t xml:space="preserve"> </w:t>
      </w:r>
      <w:hyperlink r:id="rId70">
        <w:r>
          <w:rPr>
            <w:rStyle w:val="Hyperlink"/>
          </w:rPr>
          <w:t xml:space="preserve">(p. 3)</w:t>
        </w:r>
      </w:hyperlink>
    </w:p>
    <w:p>
      <w:pPr>
        <w:pStyle w:val="BodyText"/>
      </w:pPr>
      <w:r>
        <w:t xml:space="preserve">These independent development models under West global hegemony can be identified as capitalist states, as another state under the control of certain fraction of capitalists.I'm curious about how these capitalists states with "independent" development models" are embedded. As it is not a difference on the mode of production, but a device for capital accumulation. In this sense, the fall of USSR which implied the West imperialist intervention under Khrushchev, is an interesting point to identify the mechanism which explains its function in the global hegemony and its crisis. But most important in the whole process of capitalist production. I remember that Mandel's work on the political economy of the USSR from the perspective of Ospina showed some lights over this period and dynamic.</w:t>
      </w:r>
    </w:p>
    <w:p>
      <w:pPr>
        <w:pStyle w:val="BodyText"/>
      </w:pPr>
      <w:r>
        <w:drawing>
          <wp:inline>
            <wp:extent cx="228600" cy="228600"/>
            <wp:effectExtent b="0" l="0" r="0" t="0"/>
            <wp:docPr descr="" title="" id="71"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72"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Some countries temporarily on the frontline of the Cold War geopolitical divide, such as West Germany, Japan and South Korea, were allowed unhindered development as part of a geopolitical strategy for keeping them within the Western orbit while curbing the advance of communism and managed to achieve outstanding economic growth. However, being pseudo-independent nations, when that political necessity was removed, they were ‘cut back to size’ using Bretton Woods instruments, as will be discussed later.</w:t>
      </w:r>
      <w:r>
        <w:t xml:space="preserve"> </w:t>
      </w:r>
      <w:hyperlink r:id="rId73">
        <w:r>
          <w:rPr>
            <w:rStyle w:val="Hyperlink"/>
          </w:rPr>
          <w:t xml:space="preserve">(p. 3)</w:t>
        </w:r>
      </w:hyperlink>
    </w:p>
    <w:p>
      <w:pPr>
        <w:pStyle w:val="BodyText"/>
      </w:pPr>
      <w:r>
        <w:drawing>
          <wp:inline>
            <wp:extent cx="228600" cy="228600"/>
            <wp:effectExtent b="0" l="0" r="0" t="0"/>
            <wp:docPr descr="" title="" id="74"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75"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Constitutions imposed by the colonial powers. Prior to ‘granting independence,’ the colonial powers imposed constitutions and hence political systems that ensured weak and vulnerable governance by the newly ‘independent’ countries.</w:t>
      </w:r>
      <w:r>
        <w:t xml:space="preserve"> </w:t>
      </w:r>
      <w:hyperlink r:id="rId76">
        <w:r>
          <w:rPr>
            <w:rStyle w:val="Hyperlink"/>
          </w:rPr>
          <w:t xml:space="preserve">(p. 3)</w:t>
        </w:r>
      </w:hyperlink>
    </w:p>
    <w:p>
      <w:pPr>
        <w:pStyle w:val="BodyText"/>
      </w:pPr>
      <w:r>
        <w:t xml:space="preserve">This idea of regimes of accumulation is based on the institutional structure for certain capitalist accumulation. The Washington Consensus institutional implantation and constitution making presented homogeneously the same interest manifested in the suppression of the constraints for "foreign direct investment", and the institutional regimes of labor exploitation, both main institutional changes were directed toward the monopolistic control of US imperialist capitalists fractions of the TCC. The formal control of the TCC under the management of US headed corporations changed in the beginning of the XXI century toward Canadian, Japanese and Chinese corporations, i.e. large scale mining in Peru. While these changes occurred the imperialist conditions were reinforced with "democratic governability" until the uprisings of Chile and Ecuador in October 2019 when the geopolitical contention escalation with Ukranian conflict around 2014 and 2018 were responded with the neo-liberal authoritarian reversion in the Andean region.</w:t>
      </w:r>
    </w:p>
    <w:p>
      <w:pPr>
        <w:pStyle w:val="BodyText"/>
      </w:pPr>
      <w:r>
        <w:drawing>
          <wp:inline>
            <wp:extent cx="228600" cy="228600"/>
            <wp:effectExtent b="0" l="0" r="0" t="0"/>
            <wp:docPr descr="" title="" id="77"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78"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The Bretton Woods system, which locks countries into a fnancial structure controlled by the West. In particular it requires that central bank governors be ‘independent,’ that is, independent of their governments, but dependent on rules established by the Bank of International Settlements (BIS), at the top of the pyramid in the Bretton Woods system.</w:t>
      </w:r>
      <w:r>
        <w:t xml:space="preserve"> </w:t>
      </w:r>
      <w:hyperlink r:id="rId79">
        <w:r>
          <w:rPr>
            <w:rStyle w:val="Hyperlink"/>
          </w:rPr>
          <w:t xml:space="preserve">(p. 3)</w:t>
        </w:r>
      </w:hyperlink>
    </w:p>
    <w:p>
      <w:pPr>
        <w:pStyle w:val="BodyText"/>
      </w:pPr>
      <w:r>
        <w:t xml:space="preserve">The author translated the importance of Bretton Woods financial institutions as the subordination of independent development models countries (China, North Korea, Cuba, Vietnam and Islam Republic) to those instruments of global hegemony.</w:t>
      </w:r>
    </w:p>
    <w:p>
      <w:pPr>
        <w:pStyle w:val="BodyText"/>
      </w:pPr>
      <w:r>
        <w:drawing>
          <wp:inline>
            <wp:extent cx="228600" cy="228600"/>
            <wp:effectExtent b="0" l="0" r="0" t="0"/>
            <wp:docPr descr="" title="" id="80"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81"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The political system: China: Highly centralized allowing rapid adoption and imple- » mentation of development policies. India: A federal parliamentary democracy imposed by the UK » which greatly inhibited implementation of rapid development policies.</w:t>
      </w:r>
      <w:r>
        <w:t xml:space="preserve"> </w:t>
      </w:r>
      <w:hyperlink r:id="rId82">
        <w:r>
          <w:rPr>
            <w:rStyle w:val="Hyperlink"/>
          </w:rPr>
          <w:t xml:space="preserve">(p. 7)</w:t>
        </w:r>
      </w:hyperlink>
    </w:p>
    <w:p>
      <w:pPr>
        <w:pStyle w:val="BodyText"/>
      </w:pPr>
      <w:r>
        <w:t xml:space="preserve">The author looks for general features of comparison between the "political system" of China and India. Maybe the main difference is the state capacity of China, as higher than India.</w:t>
      </w:r>
    </w:p>
    <w:p>
      <w:pPr>
        <w:pStyle w:val="BodyText"/>
      </w:pPr>
      <w:r>
        <w:drawing>
          <wp:inline>
            <wp:extent cx="228600" cy="228600"/>
            <wp:effectExtent b="0" l="0" r="0" t="0"/>
            <wp:docPr descr="" title="" id="83"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84"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The commercial banking sector, a critical factor infuencing national development. China: Commercial banking is dominated by the public sector. » India: Commercial banking is dominated by the private sector. »</w:t>
      </w:r>
      <w:r>
        <w:t xml:space="preserve"> </w:t>
      </w:r>
      <w:hyperlink r:id="rId85">
        <w:r>
          <w:rPr>
            <w:rStyle w:val="Hyperlink"/>
          </w:rPr>
          <w:t xml:space="preserve">(p. 7)</w:t>
        </w:r>
      </w:hyperlink>
    </w:p>
    <w:p>
      <w:pPr>
        <w:pStyle w:val="BodyText"/>
      </w:pPr>
      <w:r>
        <w:t xml:space="preserve">The rate of profit of money-capital circulation in China required that the internal turn over velocity have to be granted by the highly concentrated capital of the fraction of the TCC which controls the state capitalist Chinese class.</w:t>
      </w:r>
    </w:p>
    <w:p>
      <w:pPr>
        <w:pStyle w:val="BodyText"/>
      </w:pPr>
      <w:r>
        <w:drawing>
          <wp:inline>
            <wp:extent cx="228600" cy="228600"/>
            <wp:effectExtent b="0" l="0" r="0" t="0"/>
            <wp:docPr descr="" title="" id="86"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87"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Bear in mind, the GDP data of western countries is subject to gross manipulation, inter alia by infating the services sectors, and more recently and strikingly, by the inclusion of drugs, prostitution and smuggling in GDP data.3 .3 3 T</w:t>
      </w:r>
      <w:r>
        <w:t xml:space="preserve"> </w:t>
      </w:r>
      <w:hyperlink r:id="rId88">
        <w:r>
          <w:rPr>
            <w:rStyle w:val="Hyperlink"/>
          </w:rPr>
          <w:t xml:space="preserve">(p. 9)</w:t>
        </w:r>
      </w:hyperlink>
    </w:p>
    <w:p>
      <w:pPr>
        <w:pStyle w:val="BodyText"/>
      </w:pPr>
      <w:r>
        <w:t xml:space="preserve">These statement should be described extensively.The inflation as an increment in the price of a commodity can have two or three explanations 1) an increment on its variable or constant components, 2) an increment on the rate of exploitation that becomes surplus value, or 3) an increment in the exchange value price of the commodity that is money and commodity at the same time.</w:t>
      </w:r>
    </w:p>
    <w:p>
      <w:pPr>
        <w:pStyle w:val="BodyText"/>
      </w:pPr>
      <w:r>
        <w:drawing>
          <wp:inline>
            <wp:extent cx="228600" cy="228600"/>
            <wp:effectExtent b="0" l="0" r="0" t="0"/>
            <wp:docPr descr="" title="" id="89"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90"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GDP is not a viable measure of economic performance for ‘reserve currency’ nations that can print money out of thin air without risk of signifcant infation or currency devaluation.</w:t>
      </w:r>
      <w:r>
        <w:t xml:space="preserve"> </w:t>
      </w:r>
      <w:hyperlink r:id="rId91">
        <w:r>
          <w:rPr>
            <w:rStyle w:val="Hyperlink"/>
          </w:rPr>
          <w:t xml:space="preserve">(p. 9)</w:t>
        </w:r>
      </w:hyperlink>
    </w:p>
    <w:p>
      <w:pPr>
        <w:pStyle w:val="BodyText"/>
      </w:pPr>
      <w:r>
        <w:t xml:space="preserve">Why?</w:t>
      </w:r>
    </w:p>
    <w:p>
      <w:pPr>
        <w:pStyle w:val="BodyText"/>
      </w:pPr>
      <w:r>
        <w:drawing>
          <wp:inline>
            <wp:extent cx="228600" cy="228600"/>
            <wp:effectExtent b="0" l="0" r="0" t="0"/>
            <wp:docPr descr="" title="" id="92"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93"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It is very clear from the above tables that as far back as 2007: • Chinese exports are about double the total of the leading Western countries.</w:t>
      </w:r>
      <w:r>
        <w:t xml:space="preserve"> </w:t>
      </w:r>
      <w:hyperlink r:id="rId94">
        <w:r>
          <w:rPr>
            <w:rStyle w:val="Hyperlink"/>
          </w:rPr>
          <w:t xml:space="preserve">(p. 11)</w:t>
        </w:r>
      </w:hyperlink>
    </w:p>
    <w:p>
      <w:pPr>
        <w:pStyle w:val="BodyText"/>
      </w:pPr>
      <w:r>
        <w:drawing>
          <wp:inline>
            <wp:extent cx="228600" cy="228600"/>
            <wp:effectExtent b="0" l="0" r="0" t="0"/>
            <wp:docPr descr="" title="" id="95"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96"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Figures 7 and 8 7 track U.S. economic sectors between 1947 and 2009, 7 indicating a signifcant decline in the manufacturing sector since the 1950s, from a peak of 28% down to 12% in 2009.</w:t>
      </w:r>
      <w:r>
        <w:t xml:space="preserve"> </w:t>
      </w:r>
      <w:hyperlink r:id="rId97">
        <w:r>
          <w:rPr>
            <w:rStyle w:val="Hyperlink"/>
          </w:rPr>
          <w:t xml:space="preserve">(p. 12)</w:t>
        </w:r>
      </w:hyperlink>
    </w:p>
    <w:p>
      <w:pPr>
        <w:pStyle w:val="BodyText"/>
      </w:pPr>
      <w:r>
        <w:t xml:space="preserve">The "financial crisis" of 2008/2009 coincide with this down peak of US decline in the manufacturing sector. The author points to the growth of China manufacturing sector in relation with this dynamic but I'm not sure about his explanation.</w:t>
      </w:r>
    </w:p>
    <w:p>
      <w:pPr>
        <w:pStyle w:val="BodyText"/>
      </w:pPr>
      <w:r>
        <w:drawing>
          <wp:inline>
            <wp:extent cx="228600" cy="228600"/>
            <wp:effectExtent b="0" l="0" r="0" t="0"/>
            <wp:docPr descr="" title="" id="98"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99"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The fallacy of GDP data was illustrated in the Ukraine war. When Ukraine ran out of weapons and munitions, the U.S., UK, EU, and Canada scrambled to the rescue, depleting their own stocks. But then, their combined defense industries were unable to continue to produce the needed equipment and ammunitions at the rate Ukraine was using them,8 even though Ukraine was expending only a fraction of same com- ,8 pared to Russia.9 .9</w:t>
      </w:r>
      <w:r>
        <w:t xml:space="preserve"> </w:t>
      </w:r>
      <w:hyperlink r:id="rId100">
        <w:r>
          <w:rPr>
            <w:rStyle w:val="Hyperlink"/>
          </w:rPr>
          <w:t xml:space="preserve">(p. 13)</w:t>
        </w:r>
      </w:hyperlink>
    </w:p>
    <w:p>
      <w:pPr>
        <w:pStyle w:val="BodyText"/>
      </w:pPr>
      <w:r>
        <w:t xml:space="preserve">There was a common assumption among US advisors on IR, which stated openly but with limited evidence (updated data) that the military capacity of Russia in the Ukranian conflict would be overpassed by the US war technology, also considering that the magnitude of the military capacity already applied by Russia was evidencing a drift. The employment of West military stocks in the Ukranian conflict and then the inability to continue producing weapons as the Ukrania conflict demanded could evidence the reservation of that capacity for further development of the escalation of geopolitical contention. But also a limit on the capitalist production of means of destruction, which couldn't be solved by only mechanisms for increment of rate profit rise overpassing the circuit of capital reproduction.</w:t>
      </w:r>
    </w:p>
    <w:p>
      <w:pPr>
        <w:pStyle w:val="BodyText"/>
      </w:pPr>
      <w:r>
        <w:drawing>
          <wp:inline>
            <wp:extent cx="228600" cy="228600"/>
            <wp:effectExtent b="0" l="0" r="0" t="0"/>
            <wp:docPr descr="" title="" id="101" name="Picture"/>
            <a:graphic>
              <a:graphicData uri="http://schemas.openxmlformats.org/drawingml/2006/picture">
                <pic:pic>
                  <pic:nvPicPr>
                    <pic:cNvPr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id="102" name="Picture"/>
                    <pic:cNvPicPr>
                      <a:picLocks noChangeArrowheads="1" noChangeAspect="1"/>
                    </pic:cNvPicPr>
                  </pic:nvPicPr>
                  <pic:blipFill>
                    <a:blip r:embed="rId2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Quote</w:t>
      </w:r>
    </w:p>
    <w:p>
      <w:pPr>
        <w:pStyle w:val="BodyText"/>
      </w:pPr>
      <w:r>
        <w:t xml:space="preserve">GDP, PCI, Gini coefcient, credit ratings, stock valuations, infation fgures are mostly refections of a virtual reality, as will be discussed in this book. When virtual reality meets reality on the battleground, T-Bills and ETFs stand little chance against fying missiles and artillery shells.</w:t>
      </w:r>
      <w:r>
        <w:t xml:space="preserve"> </w:t>
      </w:r>
      <w:hyperlink r:id="rId103">
        <w:r>
          <w:rPr>
            <w:rStyle w:val="Hyperlink"/>
          </w:rPr>
          <w:t xml:space="preserve">(p. 13)</w:t>
        </w:r>
      </w:hyperlink>
    </w:p>
    <w:p>
      <w:pPr>
        <w:pStyle w:val="BodyText"/>
      </w:pPr>
      <w:r>
        <w:t xml:space="preserve">What is emphasized is that international war bring periods of enforcement on the conditions of material expansion. The magnitude of capital invested in military consumption was increasing already after the USSR fall, but the magnitude of money-capital which is expecting the right opportunity to be invested in the military large scale industry of the WW3 would be incomparable.</w:t>
      </w:r>
      <w:r>
        <w:br/>
      </w:r>
    </w:p>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22" Target="file://C:%5CUsers%5C51964%5CBox%5CZotero%5Cstorage%5CTHN9H58H%5CLama%20-%202023%20-%20Why%20the%20West%20can&#39;t%20win%20from%20Bretton%20Woods%20to%20a%20mu.pdf" TargetMode="External" /><Relationship Type="http://schemas.openxmlformats.org/officeDocument/2006/relationships/hyperlink" Id="rId20" Target="http://zotero.org/users/4081719/items/DT8MMANF" TargetMode="External" /><Relationship Type="http://schemas.openxmlformats.org/officeDocument/2006/relationships/hyperlink" Id="rId56" Target="zotero://open-pdf/library/items/THN9H58H?page=1&amp;annotation=highlight-p20x59y455" TargetMode="External" /><Relationship Type="http://schemas.openxmlformats.org/officeDocument/2006/relationships/hyperlink" Id="rId94" Target="zotero://open-pdf/library/items/THN9H58H?page=11&amp;annotation=highlight-p30x59y93" TargetMode="External" /><Relationship Type="http://schemas.openxmlformats.org/officeDocument/2006/relationships/hyperlink" Id="rId97" Target="zotero://open-pdf/library/items/THN9H58H?page=12&amp;annotation=highlight-p31x50y536" TargetMode="External" /><Relationship Type="http://schemas.openxmlformats.org/officeDocument/2006/relationships/hyperlink" Id="rId100" Target="zotero://open-pdf/library/items/THN9H58H?page=13&amp;annotation=highlight-p32x59y312" TargetMode="External" /><Relationship Type="http://schemas.openxmlformats.org/officeDocument/2006/relationships/hyperlink" Id="rId103" Target="zotero://open-pdf/library/items/THN9H58H?page=13&amp;annotation=highlight-p32x59y60" TargetMode="External" /><Relationship Type="http://schemas.openxmlformats.org/officeDocument/2006/relationships/hyperlink" Id="rId67" Target="zotero://open-pdf/library/items/THN9H58H?page=2&amp;annotation=highlight-p21x50y117" TargetMode="External" /><Relationship Type="http://schemas.openxmlformats.org/officeDocument/2006/relationships/hyperlink" Id="rId62" Target="zotero://open-pdf/library/items/THN9H58H?page=2&amp;annotation=highlight-p21x50y207" TargetMode="External" /><Relationship Type="http://schemas.openxmlformats.org/officeDocument/2006/relationships/hyperlink" Id="rId59" Target="zotero://open-pdf/library/items/THN9H58H?page=2&amp;annotation=highlight-p21x50y522" TargetMode="External" /><Relationship Type="http://schemas.openxmlformats.org/officeDocument/2006/relationships/hyperlink" Id="rId73" Target="zotero://open-pdf/library/items/THN9H58H?page=3&amp;annotation=highlight-p22x59y298" TargetMode="External" /><Relationship Type="http://schemas.openxmlformats.org/officeDocument/2006/relationships/hyperlink" Id="rId70" Target="zotero://open-pdf/library/items/THN9H58H?page=3&amp;annotation=highlight-p22x59y417" TargetMode="External" /><Relationship Type="http://schemas.openxmlformats.org/officeDocument/2006/relationships/hyperlink" Id="rId79" Target="zotero://open-pdf/library/items/THN9H58H?page=3&amp;annotation=highlight-p22x76y109" TargetMode="External" /><Relationship Type="http://schemas.openxmlformats.org/officeDocument/2006/relationships/hyperlink" Id="rId76" Target="zotero://open-pdf/library/items/THN9H58H?page=3&amp;annotation=highlight-p22x76y200" TargetMode="External" /><Relationship Type="http://schemas.openxmlformats.org/officeDocument/2006/relationships/hyperlink" Id="rId85" Target="zotero://open-pdf/library/items/THN9H58H?page=7&amp;annotation=highlight-p26x77y368" TargetMode="External" /><Relationship Type="http://schemas.openxmlformats.org/officeDocument/2006/relationships/hyperlink" Id="rId82" Target="zotero://open-pdf/library/items/THN9H58H?page=7&amp;annotation=highlight-p26x77y445" TargetMode="External" /><Relationship Type="http://schemas.openxmlformats.org/officeDocument/2006/relationships/hyperlink" Id="rId88" Target="zotero://open-pdf/library/items/THN9H58H?page=9&amp;annotation=highlight-p28x59y227" TargetMode="External" /><Relationship Type="http://schemas.openxmlformats.org/officeDocument/2006/relationships/hyperlink" Id="rId91" Target="zotero://open-pdf/library/items/THN9H58H?page=9&amp;annotation=highlight-p28x59y66" TargetMode="External" /><Relationship Type="http://schemas.openxmlformats.org/officeDocument/2006/relationships/hyperlink" Id="rId32" Target="zotero://open-pdf/library/items/THN9H58H?page=xvii&amp;annotation=highlight-p18x50y436" TargetMode="External" /><Relationship Type="http://schemas.openxmlformats.org/officeDocument/2006/relationships/hyperlink" Id="rId29" Target="zotero://open-pdf/library/items/THN9H58H?page=xvii&amp;annotation=highlight-p18x50y485" TargetMode="External" /><Relationship Type="http://schemas.openxmlformats.org/officeDocument/2006/relationships/hyperlink" Id="rId35" Target="zotero://open-pdf/library/items/THN9H58H?page=xvii&amp;annotation=highlight-p18x50y79" TargetMode="External" /><Relationship Type="http://schemas.openxmlformats.org/officeDocument/2006/relationships/hyperlink" Id="rId50" Target="zotero://open-pdf/library/items/THN9H58H?page=xviii&amp;annotation=highlight-p19x59y151" TargetMode="External" /><Relationship Type="http://schemas.openxmlformats.org/officeDocument/2006/relationships/hyperlink" Id="rId41" Target="zotero://open-pdf/library/items/THN9H58H?page=xviii&amp;annotation=highlight-p19x59y431" TargetMode="External" /><Relationship Type="http://schemas.openxmlformats.org/officeDocument/2006/relationships/hyperlink" Id="rId38" Target="zotero://open-pdf/library/items/THN9H58H?page=xviii&amp;annotation=highlight-p19x59y459" TargetMode="External" /><Relationship Type="http://schemas.openxmlformats.org/officeDocument/2006/relationships/hyperlink" Id="rId53" Target="zotero://open-pdf/library/items/THN9H58H?page=xviii&amp;annotation=highlight-p19x59y88" TargetMode="External" /><Relationship Type="http://schemas.openxmlformats.org/officeDocument/2006/relationships/hyperlink" Id="rId47" Target="zotero://open-pdf/library/items/THN9H58H?page=xviii&amp;annotation=highlight-p19x77y340" TargetMode="External" /><Relationship Type="http://schemas.openxmlformats.org/officeDocument/2006/relationships/hyperlink" Id="rId44" Target="zotero://open-pdf/library/items/THN9H58H?page=xviii&amp;annotation=highlight-p19x77y375" TargetMode="External" /><Relationship Type="http://schemas.openxmlformats.org/officeDocument/2006/relationships/hyperlink" Id="rId21" Target="zotero://select/library/items/DT8MMANF" TargetMode="External" /></Relationships>
</file>

<file path=word/_rels/footnotes.xml.rels><?xml version="1.0" encoding="UTF-8"?><Relationships xmlns="http://schemas.openxmlformats.org/package/2006/relationships"><Relationship Type="http://schemas.openxmlformats.org/officeDocument/2006/relationships/hyperlink" Id="rId22" Target="file://C:%5CUsers%5C51964%5CBox%5CZotero%5Cstorage%5CTHN9H58H%5CLama%20-%202023%20-%20Why%20the%20West%20can&#39;t%20win%20from%20Bretton%20Woods%20to%20a%20mu.pdf" TargetMode="External" /><Relationship Type="http://schemas.openxmlformats.org/officeDocument/2006/relationships/hyperlink" Id="rId20" Target="http://zotero.org/users/4081719/items/DT8MMANF" TargetMode="External" /><Relationship Type="http://schemas.openxmlformats.org/officeDocument/2006/relationships/hyperlink" Id="rId56" Target="zotero://open-pdf/library/items/THN9H58H?page=1&amp;annotation=highlight-p20x59y455" TargetMode="External" /><Relationship Type="http://schemas.openxmlformats.org/officeDocument/2006/relationships/hyperlink" Id="rId94" Target="zotero://open-pdf/library/items/THN9H58H?page=11&amp;annotation=highlight-p30x59y93" TargetMode="External" /><Relationship Type="http://schemas.openxmlformats.org/officeDocument/2006/relationships/hyperlink" Id="rId97" Target="zotero://open-pdf/library/items/THN9H58H?page=12&amp;annotation=highlight-p31x50y536" TargetMode="External" /><Relationship Type="http://schemas.openxmlformats.org/officeDocument/2006/relationships/hyperlink" Id="rId100" Target="zotero://open-pdf/library/items/THN9H58H?page=13&amp;annotation=highlight-p32x59y312" TargetMode="External" /><Relationship Type="http://schemas.openxmlformats.org/officeDocument/2006/relationships/hyperlink" Id="rId103" Target="zotero://open-pdf/library/items/THN9H58H?page=13&amp;annotation=highlight-p32x59y60" TargetMode="External" /><Relationship Type="http://schemas.openxmlformats.org/officeDocument/2006/relationships/hyperlink" Id="rId67" Target="zotero://open-pdf/library/items/THN9H58H?page=2&amp;annotation=highlight-p21x50y117" TargetMode="External" /><Relationship Type="http://schemas.openxmlformats.org/officeDocument/2006/relationships/hyperlink" Id="rId62" Target="zotero://open-pdf/library/items/THN9H58H?page=2&amp;annotation=highlight-p21x50y207" TargetMode="External" /><Relationship Type="http://schemas.openxmlformats.org/officeDocument/2006/relationships/hyperlink" Id="rId59" Target="zotero://open-pdf/library/items/THN9H58H?page=2&amp;annotation=highlight-p21x50y522" TargetMode="External" /><Relationship Type="http://schemas.openxmlformats.org/officeDocument/2006/relationships/hyperlink" Id="rId73" Target="zotero://open-pdf/library/items/THN9H58H?page=3&amp;annotation=highlight-p22x59y298" TargetMode="External" /><Relationship Type="http://schemas.openxmlformats.org/officeDocument/2006/relationships/hyperlink" Id="rId70" Target="zotero://open-pdf/library/items/THN9H58H?page=3&amp;annotation=highlight-p22x59y417" TargetMode="External" /><Relationship Type="http://schemas.openxmlformats.org/officeDocument/2006/relationships/hyperlink" Id="rId79" Target="zotero://open-pdf/library/items/THN9H58H?page=3&amp;annotation=highlight-p22x76y109" TargetMode="External" /><Relationship Type="http://schemas.openxmlformats.org/officeDocument/2006/relationships/hyperlink" Id="rId76" Target="zotero://open-pdf/library/items/THN9H58H?page=3&amp;annotation=highlight-p22x76y200" TargetMode="External" /><Relationship Type="http://schemas.openxmlformats.org/officeDocument/2006/relationships/hyperlink" Id="rId85" Target="zotero://open-pdf/library/items/THN9H58H?page=7&amp;annotation=highlight-p26x77y368" TargetMode="External" /><Relationship Type="http://schemas.openxmlformats.org/officeDocument/2006/relationships/hyperlink" Id="rId82" Target="zotero://open-pdf/library/items/THN9H58H?page=7&amp;annotation=highlight-p26x77y445" TargetMode="External" /><Relationship Type="http://schemas.openxmlformats.org/officeDocument/2006/relationships/hyperlink" Id="rId88" Target="zotero://open-pdf/library/items/THN9H58H?page=9&amp;annotation=highlight-p28x59y227" TargetMode="External" /><Relationship Type="http://schemas.openxmlformats.org/officeDocument/2006/relationships/hyperlink" Id="rId91" Target="zotero://open-pdf/library/items/THN9H58H?page=9&amp;annotation=highlight-p28x59y66" TargetMode="External" /><Relationship Type="http://schemas.openxmlformats.org/officeDocument/2006/relationships/hyperlink" Id="rId32" Target="zotero://open-pdf/library/items/THN9H58H?page=xvii&amp;annotation=highlight-p18x50y436" TargetMode="External" /><Relationship Type="http://schemas.openxmlformats.org/officeDocument/2006/relationships/hyperlink" Id="rId29" Target="zotero://open-pdf/library/items/THN9H58H?page=xvii&amp;annotation=highlight-p18x50y485" TargetMode="External" /><Relationship Type="http://schemas.openxmlformats.org/officeDocument/2006/relationships/hyperlink" Id="rId35" Target="zotero://open-pdf/library/items/THN9H58H?page=xvii&amp;annotation=highlight-p18x50y79" TargetMode="External" /><Relationship Type="http://schemas.openxmlformats.org/officeDocument/2006/relationships/hyperlink" Id="rId50" Target="zotero://open-pdf/library/items/THN9H58H?page=xviii&amp;annotation=highlight-p19x59y151" TargetMode="External" /><Relationship Type="http://schemas.openxmlformats.org/officeDocument/2006/relationships/hyperlink" Id="rId41" Target="zotero://open-pdf/library/items/THN9H58H?page=xviii&amp;annotation=highlight-p19x59y431" TargetMode="External" /><Relationship Type="http://schemas.openxmlformats.org/officeDocument/2006/relationships/hyperlink" Id="rId38" Target="zotero://open-pdf/library/items/THN9H58H?page=xviii&amp;annotation=highlight-p19x59y459" TargetMode="External" /><Relationship Type="http://schemas.openxmlformats.org/officeDocument/2006/relationships/hyperlink" Id="rId53" Target="zotero://open-pdf/library/items/THN9H58H?page=xviii&amp;annotation=highlight-p19x59y88" TargetMode="External" /><Relationship Type="http://schemas.openxmlformats.org/officeDocument/2006/relationships/hyperlink" Id="rId47" Target="zotero://open-pdf/library/items/THN9H58H?page=xviii&amp;annotation=highlight-p19x77y340" TargetMode="External" /><Relationship Type="http://schemas.openxmlformats.org/officeDocument/2006/relationships/hyperlink" Id="rId44" Target="zotero://open-pdf/library/items/THN9H58H?page=xviii&amp;annotation=highlight-p19x77y375" TargetMode="External" /><Relationship Type="http://schemas.openxmlformats.org/officeDocument/2006/relationships/hyperlink" Id="rId21" Target="zotero://select/library/items/DT8MMAN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West can't win: from Bretton Woods to a multipolar world</dc:title>
  <dc:creator>Lama, Fadi</dc:creator>
  <cp:keywords/>
  <dcterms:created xsi:type="dcterms:W3CDTF">2024-01-23T20:59:41Z</dcterms:created>
  <dcterms:modified xsi:type="dcterms:W3CDTF">2024-01-23T20:59:41Z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ekey">
    <vt:lpwstr>lamaWhyWestCan2023</vt:lpwstr>
  </property>
  <property fmtid="{D5CDD505-2E9C-101B-9397-08002B2CF9AE}" pid="3" name="cssclass">
    <vt:lpwstr>research-note</vt:lpwstr>
  </property>
  <property fmtid="{D5CDD505-2E9C-101B-9397-08002B2CF9AE}" pid="4" name="date">
    <vt:lpwstr>2023-01-01</vt:lpwstr>
  </property>
  <property fmtid="{D5CDD505-2E9C-101B-9397-08002B2CF9AE}" pid="5" name="type">
    <vt:lpwstr>book</vt:lpwstr>
  </property>
</Properties>
</file>