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Imperialism</w:t>
      </w:r>
    </w:p>
    <w:p>
      <w:pPr>
        <w:pStyle w:val="FirstParagraph"/>
      </w:pPr>
      <w:r>
        <w:t xml:space="preserve">One of the main features of imperialism which is omitted in current analysis of the global political economy is the relation between the advanced development of capitalism and the vital necessity of raw materials. This particularity of imperialism is distinct from the colonial policy applied in previous periods of development because the larger the scale of capitalist production the shortage of raw materials is felt. While the accumulation of money capital in finance capital subordinated the industrial capitalists, the concentration of all the links of a chain of capitalist production (including its transportation) produce a fierce competition to avoid the drought and scarcity of raw materials required for further expansions of the scale of capitalist production and capital reproduction. This fierce competition between sets of monopolistic capitalists requires the annexation of new colonies for the supply of raw materials (260, 265-266)</w:t>
      </w:r>
      <w:r>
        <w:br/>
      </w:r>
      <w:r>
        <w:t xml:space="preserve">In an advanced point of development of the monopolistic competition, the colonial policy (militarism for capital accumulation) tended to the destruction of the productive forces of capitalist production expressed in interstate war (266, 275-276) as the mechanisms of repartition and subsequent divisions of all the sources of raw materials over the world (particularly in mining industries). The complete repartition of the world under the exploitation of certain financial capital on the top strata of capitalists and branches of industry, do not eliminate the competition of these sets, but increase (266, 272) the ferocity and brutality of their colonial policy and the war for subsequent repartitions.</w:t>
      </w:r>
    </w:p>
    <w:p>
      <w:pPr>
        <w:pStyle w:val="BodyText"/>
      </w:pPr>
      <w:r>
        <w:t xml:space="preserve">The subordination of industrial capitalists strata under financial capital is the result of the circuit of capital reproduction by the reinvestment of a portion of profit accumulated in the capitalist production (k) by holding a portion of profit of money capital which cannot be converted in productive capital, this portion of money capital is accumulated in an amount which can't be reinvested unless there is an expansion of the scale of capitalist production by the acquisition of new sources of raw materials or by the pure militarism for capital accumulation, which implies the destruction of the productive forces of certain industries under the control of rival sets of finance capital, holding in that manner the relations of production (private property over those sources and linked industries) on which its position in the top of the class layers of the international bourgeoises rests (275-276, 303).</w:t>
      </w:r>
    </w:p>
    <w:p>
      <w:pPr>
        <w:pStyle w:val="BodyText"/>
      </w:pPr>
      <w:r>
        <w:t xml:space="preserve">The exportation of capital as the reinvestment of finance capital to create new sources of raw materials and industries linked to them created a class of rentiers, a rentier state and parasitism in the countries in which the money capital is accumulated, in which the higher wages and country income (i.e.: GDP) is possible only by the colonial policy. Any defense which is intended to hold this structural condition in which imperialism develops must be targeted as opportunism and constitute a comfortable reaction of reformists in the countries in which a proletarian bourgeoisie lives in peace and with higher wages, not only at the cost of the proletarians of those countries, but mainly over the suffer, colonialism and exploitation of the proletarians of the rest of the world. This parasitism condition created by the rentier states finally decline the productive forces of those countries because the magnitude of variable capital in forms of high wages to the proletarian bourgeoisie cant be produced if not by the means of the colonial policy and militarism under imperialism (278-279). Indeed, the monopolistic tendency of financial capital and the competition between rival sets ruled by certain finance capitalists, stimulated the scale of raw materials industries in mining (299) and oil capitalist production.</w:t>
      </w:r>
    </w:p>
    <w:p>
      <w:pPr>
        <w:pStyle w:val="BodyText"/>
      </w:pPr>
      <w:r>
        <w:t xml:space="preserve">The main defect of ultra-imperialism or super-imperialism is that holds a reactionary assumption which in practice defends the thesis of the concentration of money capital at a point in which the abstract interpretation of the monopolistic tendency of financial capital is falsead as non-competition, and indeed leads to pacifism as a result of a stable hegemony over the world negating the wars over which the repartition of the world was built (271), but mainly omitting the economic contradictions of the world capitalist economy, which is the above described contradiction between the imperialist relations of production and the development of the productive forces of capitalism, expressed in the shortage of raw materials reached an advanced level of development of the concentration and competition tendency of monopolistic financial set of capitalists.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Imperialism</dc:title>
  <dc:creator/>
  <cp:keywords/>
  <dcterms:created xsi:type="dcterms:W3CDTF">2024-01-26T18:32:53Z</dcterms:created>
  <dcterms:modified xsi:type="dcterms:W3CDTF">2024-01-26T18:32:53Z</dcterms:modified>
</cp:coreProperties>
</file>

<file path=docProps/custom.xml><?xml version="1.0" encoding="utf-8"?>
<Properties xmlns="http://schemas.openxmlformats.org/officeDocument/2006/custom-properties" xmlns:vt="http://schemas.openxmlformats.org/officeDocument/2006/docPropsVTypes"/>
</file>